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C7EFE" w14:textId="77777777" w:rsidR="00DF1A9C" w:rsidRDefault="00DF1A9C" w:rsidP="000A51CE">
      <w:pPr>
        <w:pStyle w:val="NoSpacing"/>
        <w:spacing w:line="500" w:lineRule="exact"/>
        <w:rPr>
          <w:rFonts w:ascii="Arial Narrow" w:hAnsi="Arial Narrow"/>
          <w:b/>
          <w:sz w:val="48"/>
          <w:szCs w:val="48"/>
        </w:rPr>
      </w:pPr>
      <w:r>
        <w:rPr>
          <w:noProof/>
        </w:rPr>
        <w:drawing>
          <wp:inline distT="0" distB="0" distL="0" distR="0" wp14:anchorId="4D5869D9" wp14:editId="65968607">
            <wp:extent cx="825335" cy="313044"/>
            <wp:effectExtent l="0" t="0" r="0" b="0"/>
            <wp:docPr id="2" name="Picture 2" descr="http://intranet.laph.local/ph/images/PHLogos-Horizontal/Thumbnails/PublicHealthH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aph.local/ph/images/PHLogos-Horizontal/Thumbnails/PublicHealthHE-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910" cy="330330"/>
                    </a:xfrm>
                    <a:prstGeom prst="rect">
                      <a:avLst/>
                    </a:prstGeom>
                    <a:noFill/>
                    <a:ln>
                      <a:noFill/>
                    </a:ln>
                  </pic:spPr>
                </pic:pic>
              </a:graphicData>
            </a:graphic>
          </wp:inline>
        </w:drawing>
      </w:r>
    </w:p>
    <w:p w14:paraId="5A8B4F5E" w14:textId="579FA864" w:rsidR="00B00BE3" w:rsidRPr="00DF1A9C" w:rsidRDefault="00EE28CB" w:rsidP="00F70FFC">
      <w:pPr>
        <w:pStyle w:val="NoSpacing"/>
        <w:spacing w:line="480" w:lineRule="exact"/>
        <w:rPr>
          <w:rFonts w:ascii="Arial Narrow" w:hAnsi="Arial Narrow"/>
          <w:b/>
          <w:sz w:val="40"/>
          <w:szCs w:val="40"/>
        </w:rPr>
      </w:pPr>
      <w:r w:rsidRPr="00DF1A9C">
        <w:rPr>
          <w:rFonts w:hint="eastAsia"/>
          <w:i/>
          <w:noProof/>
          <w:sz w:val="36"/>
          <w:szCs w:val="36"/>
        </w:rPr>
        <mc:AlternateContent>
          <mc:Choice Requires="wps">
            <w:drawing>
              <wp:anchor distT="0" distB="0" distL="114300" distR="114300" simplePos="0" relativeHeight="251669504" behindDoc="0" locked="0" layoutInCell="1" allowOverlap="1" wp14:anchorId="093F825B" wp14:editId="5FE12CDC">
                <wp:simplePos x="0" y="0"/>
                <wp:positionH relativeFrom="page">
                  <wp:posOffset>5829300</wp:posOffset>
                </wp:positionH>
                <wp:positionV relativeFrom="page">
                  <wp:posOffset>342900</wp:posOffset>
                </wp:positionV>
                <wp:extent cx="0" cy="68580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0" cy="685800"/>
                        </a:xfrm>
                        <a:prstGeom prst="line">
                          <a:avLst/>
                        </a:prstGeom>
                        <a:ln w="1270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7231596" id="Straight Connector 9" o:spid="_x0000_s1026" style="position:absolute;z-index:2516695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59pt,27pt" to="45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6/h8QEAAD4EAAAOAAAAZHJzL2Uyb0RvYy54bWysU02P2yAQvVfqf0DcGzuRdpu14uwhq+2l&#10;H1F3+wMIBhsJGARs7Pz7Dthxsm3Vw2ovmIGZN+89D5v7wWhyFD4osDVdLkpKhOXQKNvW9Nfz46c1&#10;JSEy2zANVtT0JAK93378sOldJVbQgW6EJwhiQ9W7mnYxuqooAu+EYWEBTli8lOANixj6tmg86xHd&#10;6GJVlrdFD75xHrgIAU8fxku6zfhSCh5/SBlEJLqmyC3m1ef1kNZiu2FV65nrFJ9osDewMExZbDpD&#10;PbDIyItXf0EZxT0EkHHBwRQgpeIia0A1y/IPNU8dcyJrQXOCm20K7wfLvx/3nqimpneUWGbwFz1F&#10;z1TbRbIDa9FA8OQu+dS7UGH6zu79FAW390n0IL1JX5RDhuztafZWDJHw8ZDj6e36Zl1m24tLnfMh&#10;fhFgSNrUVCubVLOKHb+GiL0w9ZySjrUlPc7a6jMCpTiAVs2j0joHaXLETntyZPjPD+0y5+gX8w2a&#10;8Wx9U84U8qCl9NzlCgl7apsARZ6iiUjyYFSdd/Gkxcjop5DoIupcjZRes2CcCxuXycWMi9mpTCLn&#10;uXDS8r/CKf/Cai4eRc5iRp2vu446zp3BxrnYKAv+X7TjcKYsx3ykf6U7bQ/QnPI85Asc0qxwelDp&#10;FVzHufzy7Le/AQAA//8DAFBLAwQUAAYACAAAACEA3p074eAAAAAKAQAADwAAAGRycy9kb3ducmV2&#10;LnhtbEyP0UrDQBBF3wX/YRnBF7GbFK0xZlNKQayISFM/YJudJtHd2ZDdtqlf74gP+jTM3Mudc4v5&#10;6Kw44BA6TwrSSQICqfamo0bB++bxOgMRoiajrSdUcMIA8/L8rNC58Uda46GKjeAQCrlW0MbY51KG&#10;ukWnw8T3SKzt/OB05HVopBn0kcOdldMkmUmnO+IPre5x2WL9We2dAlzcpVi9Pl2tlruPzdf6zWbP&#10;L6lSlxfj4gFExDH+meEHn9GhZKat35MJwiq4TzPuEhXc3vBkw+9hy87ZNAFZFvJ/hfIbAAD//wMA&#10;UEsBAi0AFAAGAAgAAAAhALaDOJL+AAAA4QEAABMAAAAAAAAAAAAAAAAAAAAAAFtDb250ZW50X1R5&#10;cGVzXS54bWxQSwECLQAUAAYACAAAACEAOP0h/9YAAACUAQAACwAAAAAAAAAAAAAAAAAvAQAAX3Jl&#10;bHMvLnJlbHNQSwECLQAUAAYACAAAACEAyhOv4fEBAAA+BAAADgAAAAAAAAAAAAAAAAAuAgAAZHJz&#10;L2Uyb0RvYy54bWxQSwECLQAUAAYACAAAACEA3p074eAAAAAKAQAADwAAAAAAAAAAAAAAAABLBAAA&#10;ZHJzL2Rvd25yZXYueG1sUEsFBgAAAAAEAAQA8wAAAFgFAAAAAA==&#10;" strokecolor="#d8d8d8 [2732]" strokeweight="1pt">
                <w10:wrap anchorx="page" anchory="page"/>
              </v:line>
            </w:pict>
          </mc:Fallback>
        </mc:AlternateContent>
      </w:r>
      <w:r w:rsidRPr="00DF1A9C">
        <w:rPr>
          <w:rFonts w:ascii="Arial Narrow" w:hAnsi="Arial Narrow"/>
          <w:b/>
          <w:noProof/>
          <w:sz w:val="36"/>
          <w:szCs w:val="36"/>
        </w:rPr>
        <w:drawing>
          <wp:anchor distT="0" distB="0" distL="114300" distR="114300" simplePos="0" relativeHeight="251671552" behindDoc="0" locked="0" layoutInCell="1" allowOverlap="1" wp14:anchorId="34248ADB" wp14:editId="0D7FC09C">
            <wp:simplePos x="0" y="0"/>
            <wp:positionH relativeFrom="page">
              <wp:posOffset>6057900</wp:posOffset>
            </wp:positionH>
            <wp:positionV relativeFrom="page">
              <wp:posOffset>457200</wp:posOffset>
            </wp:positionV>
            <wp:extent cx="1013460" cy="41148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C_logo_aqua_box.png"/>
                    <pic:cNvPicPr/>
                  </pic:nvPicPr>
                  <pic:blipFill>
                    <a:blip r:embed="rId9">
                      <a:extLst>
                        <a:ext uri="{28A0092B-C50C-407E-A947-70E740481C1C}">
                          <a14:useLocalDpi xmlns:a14="http://schemas.microsoft.com/office/drawing/2010/main" val="0"/>
                        </a:ext>
                      </a:extLst>
                    </a:blip>
                    <a:stretch>
                      <a:fillRect/>
                    </a:stretch>
                  </pic:blipFill>
                  <pic:spPr>
                    <a:xfrm>
                      <a:off x="0" y="0"/>
                      <a:ext cx="1013460" cy="4114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8271F">
        <w:rPr>
          <w:rFonts w:ascii="Arial Narrow" w:hAnsi="Arial Narrow"/>
          <w:b/>
          <w:sz w:val="36"/>
          <w:szCs w:val="36"/>
        </w:rPr>
        <w:t>Los Angeles County</w:t>
      </w:r>
      <w:r w:rsidR="00B953F3" w:rsidRPr="00DF1A9C">
        <w:rPr>
          <w:rFonts w:ascii="Arial Narrow" w:hAnsi="Arial Narrow"/>
          <w:b/>
          <w:sz w:val="36"/>
          <w:szCs w:val="36"/>
        </w:rPr>
        <w:t xml:space="preserve"> Tuberculosis</w:t>
      </w:r>
      <w:r w:rsidR="00B953F3" w:rsidRPr="00DF1A9C">
        <w:rPr>
          <w:rFonts w:ascii="Arial Narrow" w:hAnsi="Arial Narrow"/>
          <w:b/>
          <w:sz w:val="40"/>
          <w:szCs w:val="40"/>
        </w:rPr>
        <w:t xml:space="preserve"> </w:t>
      </w:r>
      <w:r w:rsidR="00B00BE3" w:rsidRPr="00DF1A9C">
        <w:rPr>
          <w:rFonts w:ascii="Arial Narrow" w:hAnsi="Arial Narrow"/>
          <w:b/>
          <w:sz w:val="36"/>
          <w:szCs w:val="36"/>
        </w:rPr>
        <w:t>Risk Assessment</w:t>
      </w:r>
      <w:r w:rsidR="00DF1A9C">
        <w:rPr>
          <w:rFonts w:ascii="Arial Narrow" w:hAnsi="Arial Narrow"/>
          <w:b/>
          <w:sz w:val="36"/>
          <w:szCs w:val="36"/>
        </w:rPr>
        <w:t xml:space="preserve"> </w:t>
      </w:r>
      <w:r w:rsidR="00DF1A9C" w:rsidRPr="008C6A83">
        <w:rPr>
          <w:rFonts w:ascii="Arial Narrow" w:hAnsi="Arial Narrow"/>
          <w:b/>
          <w:sz w:val="36"/>
          <w:szCs w:val="36"/>
        </w:rPr>
        <w:t>Fact Sheet</w:t>
      </w:r>
      <w:r w:rsidR="0054082E">
        <w:rPr>
          <w:rFonts w:ascii="Arial Narrow" w:hAnsi="Arial Narrow"/>
          <w:b/>
          <w:sz w:val="36"/>
          <w:szCs w:val="36"/>
        </w:rPr>
        <w:t xml:space="preserve"> </w:t>
      </w:r>
      <w:bookmarkStart w:id="0" w:name="_GoBack"/>
      <w:bookmarkEnd w:id="0"/>
    </w:p>
    <w:p w14:paraId="6113E146" w14:textId="62925BE8" w:rsidR="00B00BE3" w:rsidRDefault="00B00BE3" w:rsidP="0072081E">
      <w:pPr>
        <w:pStyle w:val="NoSpacing"/>
        <w:pBdr>
          <w:bottom w:val="single" w:sz="4" w:space="1" w:color="BFBFBF" w:themeColor="background1" w:themeShade="BF"/>
        </w:pBdr>
        <w:tabs>
          <w:tab w:val="left" w:pos="187"/>
        </w:tabs>
        <w:rPr>
          <w:i/>
          <w:sz w:val="18"/>
          <w:szCs w:val="18"/>
        </w:rPr>
      </w:pPr>
    </w:p>
    <w:p w14:paraId="25950205" w14:textId="77777777" w:rsidR="00742336" w:rsidRDefault="00742336" w:rsidP="00385F6F">
      <w:pPr>
        <w:pStyle w:val="CommentText"/>
        <w:spacing w:after="120"/>
        <w:rPr>
          <w:rFonts w:ascii="Arial Narrow" w:hAnsi="Arial Narrow"/>
          <w:b/>
          <w:sz w:val="24"/>
          <w:szCs w:val="24"/>
        </w:rPr>
      </w:pPr>
    </w:p>
    <w:p w14:paraId="2088E399" w14:textId="77777777" w:rsidR="002A3D79" w:rsidRDefault="002A3D79" w:rsidP="00A61BEF">
      <w:pPr>
        <w:spacing w:after="120" w:line="240" w:lineRule="exact"/>
        <w:rPr>
          <w:rFonts w:ascii="Arial Narrow" w:hAnsi="Arial Narrow"/>
          <w:color w:val="000000" w:themeColor="text1"/>
          <w:sz w:val="20"/>
          <w:szCs w:val="20"/>
        </w:rPr>
        <w:sectPr w:rsidR="002A3D79" w:rsidSect="00566FA3">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0" w:footer="288" w:gutter="0"/>
          <w:cols w:space="720"/>
          <w:docGrid w:linePitch="360"/>
        </w:sectPr>
      </w:pPr>
    </w:p>
    <w:p w14:paraId="1DDE1B91" w14:textId="29429D99" w:rsidR="00D53B42" w:rsidRPr="002A3D79" w:rsidRDefault="003A7EAD" w:rsidP="00E52954">
      <w:pPr>
        <w:pStyle w:val="subhead1"/>
        <w:spacing w:before="0"/>
      </w:pPr>
      <w:r w:rsidRPr="002A3D79">
        <w:t>Avoid testing</w:t>
      </w:r>
      <w:r w:rsidRPr="00451E07">
        <w:t xml:space="preserve"> </w:t>
      </w:r>
      <w:r>
        <w:t xml:space="preserve">persons at </w:t>
      </w:r>
      <w:r w:rsidRPr="002A3D79">
        <w:t>low risk</w:t>
      </w:r>
    </w:p>
    <w:p w14:paraId="6CD452E1" w14:textId="75B630EA" w:rsidR="00D53B42" w:rsidRPr="00D53B42" w:rsidRDefault="003A7EAD" w:rsidP="00DE162F">
      <w:pPr>
        <w:pStyle w:val="bodycopy"/>
        <w:spacing w:after="360"/>
      </w:pPr>
      <w:r w:rsidRPr="00D53B42">
        <w:t>Routine testing of low risk populations is not recommended and may result in unnecessary evaluations and treatment because of falsely positive test results.</w:t>
      </w:r>
    </w:p>
    <w:tbl>
      <w:tblPr>
        <w:tblStyle w:val="TableGrid"/>
        <w:tblW w:w="0" w:type="auto"/>
        <w:tblInd w:w="288" w:type="dxa"/>
        <w:tblBorders>
          <w:top w:val="single" w:sz="24" w:space="0" w:color="90B1C7"/>
          <w:left w:val="single" w:sz="24" w:space="0" w:color="90B1C7"/>
          <w:bottom w:val="single" w:sz="24" w:space="0" w:color="90B1C7"/>
          <w:right w:val="single" w:sz="24" w:space="0" w:color="90B1C7"/>
          <w:insideH w:val="none" w:sz="0" w:space="0" w:color="auto"/>
          <w:insideV w:val="none" w:sz="0" w:space="0" w:color="auto"/>
        </w:tblBorders>
        <w:tblCellMar>
          <w:left w:w="115" w:type="dxa"/>
          <w:right w:w="115" w:type="dxa"/>
        </w:tblCellMar>
        <w:tblLook w:val="04A0" w:firstRow="1" w:lastRow="0" w:firstColumn="1" w:lastColumn="0" w:noHBand="0" w:noVBand="1"/>
      </w:tblPr>
      <w:tblGrid>
        <w:gridCol w:w="4418"/>
      </w:tblGrid>
      <w:tr w:rsidR="00DE162F" w14:paraId="64DA09CE" w14:textId="77777777" w:rsidTr="00237913">
        <w:tc>
          <w:tcPr>
            <w:tcW w:w="4698" w:type="dxa"/>
            <w:tcMar>
              <w:top w:w="216" w:type="dxa"/>
              <w:left w:w="288" w:type="dxa"/>
              <w:bottom w:w="216" w:type="dxa"/>
              <w:right w:w="274" w:type="dxa"/>
            </w:tcMar>
          </w:tcPr>
          <w:p w14:paraId="1A61FF25" w14:textId="77777777" w:rsidR="00DE162F" w:rsidRPr="00BD2C40" w:rsidRDefault="00DE162F" w:rsidP="00DE162F">
            <w:pPr>
              <w:pStyle w:val="subhead1"/>
              <w:spacing w:before="0"/>
            </w:pPr>
            <w:r w:rsidRPr="00BD2C40">
              <w:t>Prioritize persons with risks for progression</w:t>
            </w:r>
          </w:p>
          <w:p w14:paraId="3C85F46D" w14:textId="55791A11" w:rsidR="00DE162F" w:rsidRPr="00BD2C40" w:rsidRDefault="00DE162F" w:rsidP="00237913">
            <w:pPr>
              <w:pStyle w:val="subhead1"/>
              <w:spacing w:before="0" w:after="60"/>
              <w:jc w:val="both"/>
              <w:rPr>
                <w:b w:val="0"/>
                <w:bCs w:val="0"/>
                <w:color w:val="000000" w:themeColor="text1"/>
                <w:sz w:val="20"/>
                <w:szCs w:val="20"/>
              </w:rPr>
            </w:pPr>
            <w:r w:rsidRPr="00BD2C40">
              <w:rPr>
                <w:b w:val="0"/>
                <w:bCs w:val="0"/>
                <w:color w:val="000000" w:themeColor="text1"/>
                <w:sz w:val="20"/>
                <w:szCs w:val="20"/>
              </w:rPr>
              <w:t xml:space="preserve">If health system resources do not allow for testing of all foreign-born persons from a country with an elevated TB </w:t>
            </w:r>
            <w:r w:rsidR="00237913">
              <w:rPr>
                <w:b w:val="0"/>
                <w:bCs w:val="0"/>
                <w:color w:val="000000" w:themeColor="text1"/>
                <w:sz w:val="20"/>
                <w:szCs w:val="20"/>
              </w:rPr>
              <w:t>rate</w:t>
            </w:r>
            <w:r w:rsidRPr="00BD2C40">
              <w:rPr>
                <w:b w:val="0"/>
                <w:bCs w:val="0"/>
                <w:color w:val="000000" w:themeColor="text1"/>
                <w:sz w:val="20"/>
                <w:szCs w:val="20"/>
              </w:rPr>
              <w:t>, prioritize patients with at least one of the following medical risks for progression:</w:t>
            </w:r>
          </w:p>
          <w:p w14:paraId="79FEC619" w14:textId="77777777" w:rsidR="00DE162F" w:rsidRPr="00BD2C40" w:rsidRDefault="00DE162F" w:rsidP="00DE162F">
            <w:pPr>
              <w:pStyle w:val="subhead1"/>
              <w:numPr>
                <w:ilvl w:val="0"/>
                <w:numId w:val="22"/>
              </w:numPr>
              <w:tabs>
                <w:tab w:val="left" w:pos="270"/>
              </w:tabs>
              <w:spacing w:before="0" w:after="0"/>
              <w:ind w:left="432" w:hanging="216"/>
              <w:rPr>
                <w:b w:val="0"/>
                <w:bCs w:val="0"/>
                <w:color w:val="000000" w:themeColor="text1"/>
                <w:sz w:val="20"/>
                <w:szCs w:val="20"/>
              </w:rPr>
            </w:pPr>
            <w:r w:rsidRPr="00BD2C40">
              <w:rPr>
                <w:b w:val="0"/>
                <w:bCs w:val="0"/>
                <w:color w:val="000000" w:themeColor="text1"/>
                <w:sz w:val="20"/>
                <w:szCs w:val="20"/>
              </w:rPr>
              <w:t>diabetes mellitus</w:t>
            </w:r>
          </w:p>
          <w:p w14:paraId="3E029861" w14:textId="77777777" w:rsidR="00DE162F" w:rsidRPr="00BD2C40" w:rsidRDefault="00DE162F" w:rsidP="00DE162F">
            <w:pPr>
              <w:pStyle w:val="subhead1"/>
              <w:numPr>
                <w:ilvl w:val="0"/>
                <w:numId w:val="22"/>
              </w:numPr>
              <w:tabs>
                <w:tab w:val="left" w:pos="270"/>
              </w:tabs>
              <w:spacing w:before="0" w:after="0"/>
              <w:ind w:left="432" w:hanging="216"/>
              <w:rPr>
                <w:b w:val="0"/>
                <w:bCs w:val="0"/>
                <w:color w:val="000000" w:themeColor="text1"/>
                <w:sz w:val="20"/>
                <w:szCs w:val="20"/>
              </w:rPr>
            </w:pPr>
            <w:r w:rsidRPr="00BD2C40">
              <w:rPr>
                <w:b w:val="0"/>
                <w:bCs w:val="0"/>
                <w:color w:val="000000" w:themeColor="text1"/>
                <w:sz w:val="20"/>
                <w:szCs w:val="20"/>
              </w:rPr>
              <w:t>smoker within past 1 year</w:t>
            </w:r>
          </w:p>
          <w:p w14:paraId="049C9F47" w14:textId="77777777" w:rsidR="00DE162F" w:rsidRPr="00BD2C40" w:rsidRDefault="00DE162F" w:rsidP="00DE162F">
            <w:pPr>
              <w:pStyle w:val="subhead1"/>
              <w:numPr>
                <w:ilvl w:val="0"/>
                <w:numId w:val="22"/>
              </w:numPr>
              <w:tabs>
                <w:tab w:val="left" w:pos="270"/>
              </w:tabs>
              <w:spacing w:before="0" w:after="0"/>
              <w:ind w:left="432" w:hanging="216"/>
              <w:rPr>
                <w:b w:val="0"/>
                <w:bCs w:val="0"/>
                <w:color w:val="000000" w:themeColor="text1"/>
                <w:sz w:val="20"/>
                <w:szCs w:val="20"/>
              </w:rPr>
            </w:pPr>
            <w:r w:rsidRPr="00BD2C40">
              <w:rPr>
                <w:b w:val="0"/>
                <w:bCs w:val="0"/>
                <w:color w:val="000000" w:themeColor="text1"/>
                <w:sz w:val="20"/>
                <w:szCs w:val="20"/>
              </w:rPr>
              <w:t>end stage renal disease</w:t>
            </w:r>
          </w:p>
          <w:p w14:paraId="079718B3" w14:textId="77777777" w:rsidR="00DE162F" w:rsidRPr="00BD2C40" w:rsidRDefault="00DE162F" w:rsidP="00DE162F">
            <w:pPr>
              <w:pStyle w:val="subhead1"/>
              <w:numPr>
                <w:ilvl w:val="0"/>
                <w:numId w:val="22"/>
              </w:numPr>
              <w:tabs>
                <w:tab w:val="left" w:pos="270"/>
              </w:tabs>
              <w:spacing w:before="0" w:after="0"/>
              <w:ind w:left="432" w:hanging="216"/>
              <w:rPr>
                <w:b w:val="0"/>
                <w:bCs w:val="0"/>
                <w:color w:val="000000" w:themeColor="text1"/>
                <w:sz w:val="20"/>
                <w:szCs w:val="20"/>
              </w:rPr>
            </w:pPr>
            <w:r w:rsidRPr="00BD2C40">
              <w:rPr>
                <w:b w:val="0"/>
                <w:bCs w:val="0"/>
                <w:color w:val="000000" w:themeColor="text1"/>
                <w:sz w:val="20"/>
                <w:szCs w:val="20"/>
              </w:rPr>
              <w:t>leukemia or lymphoma</w:t>
            </w:r>
          </w:p>
          <w:p w14:paraId="4A9B3D74" w14:textId="77777777" w:rsidR="00DE162F" w:rsidRPr="00BD2C40" w:rsidRDefault="00DE162F" w:rsidP="00DE162F">
            <w:pPr>
              <w:pStyle w:val="subhead1"/>
              <w:numPr>
                <w:ilvl w:val="0"/>
                <w:numId w:val="22"/>
              </w:numPr>
              <w:tabs>
                <w:tab w:val="left" w:pos="270"/>
              </w:tabs>
              <w:spacing w:before="0" w:after="0"/>
              <w:ind w:left="432" w:hanging="216"/>
              <w:rPr>
                <w:b w:val="0"/>
                <w:bCs w:val="0"/>
                <w:color w:val="000000" w:themeColor="text1"/>
                <w:sz w:val="20"/>
                <w:szCs w:val="20"/>
              </w:rPr>
            </w:pPr>
            <w:r w:rsidRPr="00BD2C40">
              <w:rPr>
                <w:b w:val="0"/>
                <w:bCs w:val="0"/>
                <w:color w:val="000000" w:themeColor="text1"/>
                <w:sz w:val="20"/>
                <w:szCs w:val="20"/>
              </w:rPr>
              <w:t>silicosis</w:t>
            </w:r>
          </w:p>
          <w:p w14:paraId="40916E59" w14:textId="77777777" w:rsidR="00DE162F" w:rsidRPr="00BD2C40" w:rsidRDefault="00DE162F" w:rsidP="00DE162F">
            <w:pPr>
              <w:pStyle w:val="subhead1"/>
              <w:numPr>
                <w:ilvl w:val="0"/>
                <w:numId w:val="22"/>
              </w:numPr>
              <w:tabs>
                <w:tab w:val="left" w:pos="270"/>
              </w:tabs>
              <w:spacing w:before="0" w:after="0"/>
              <w:ind w:left="432" w:hanging="216"/>
              <w:rPr>
                <w:b w:val="0"/>
                <w:bCs w:val="0"/>
                <w:color w:val="000000" w:themeColor="text1"/>
                <w:sz w:val="20"/>
                <w:szCs w:val="20"/>
              </w:rPr>
            </w:pPr>
            <w:r w:rsidRPr="00BD2C40">
              <w:rPr>
                <w:b w:val="0"/>
                <w:bCs w:val="0"/>
                <w:color w:val="000000" w:themeColor="text1"/>
                <w:sz w:val="20"/>
                <w:szCs w:val="20"/>
              </w:rPr>
              <w:t>cancer of head or neck</w:t>
            </w:r>
          </w:p>
          <w:p w14:paraId="264312B1" w14:textId="77777777" w:rsidR="00DE162F" w:rsidRPr="00BD2C40" w:rsidRDefault="00DE162F" w:rsidP="00DE162F">
            <w:pPr>
              <w:pStyle w:val="subhead1"/>
              <w:numPr>
                <w:ilvl w:val="0"/>
                <w:numId w:val="22"/>
              </w:numPr>
              <w:tabs>
                <w:tab w:val="left" w:pos="270"/>
              </w:tabs>
              <w:spacing w:before="0" w:after="0"/>
              <w:ind w:left="432" w:hanging="216"/>
              <w:rPr>
                <w:b w:val="0"/>
                <w:bCs w:val="0"/>
                <w:color w:val="000000" w:themeColor="text1"/>
                <w:sz w:val="20"/>
                <w:szCs w:val="20"/>
              </w:rPr>
            </w:pPr>
            <w:r w:rsidRPr="00BD2C40">
              <w:rPr>
                <w:b w:val="0"/>
                <w:bCs w:val="0"/>
                <w:color w:val="000000" w:themeColor="text1"/>
                <w:sz w:val="20"/>
                <w:szCs w:val="20"/>
              </w:rPr>
              <w:t>intestinal bypass/gastrectomy</w:t>
            </w:r>
          </w:p>
          <w:p w14:paraId="7630D947" w14:textId="77777777" w:rsidR="00DE162F" w:rsidRPr="00BD2C40" w:rsidRDefault="00DE162F" w:rsidP="00DE162F">
            <w:pPr>
              <w:pStyle w:val="subhead1"/>
              <w:numPr>
                <w:ilvl w:val="0"/>
                <w:numId w:val="22"/>
              </w:numPr>
              <w:tabs>
                <w:tab w:val="left" w:pos="270"/>
              </w:tabs>
              <w:spacing w:before="0" w:after="0"/>
              <w:ind w:left="432" w:hanging="216"/>
              <w:rPr>
                <w:b w:val="0"/>
                <w:bCs w:val="0"/>
                <w:color w:val="000000" w:themeColor="text1"/>
                <w:sz w:val="20"/>
                <w:szCs w:val="20"/>
              </w:rPr>
            </w:pPr>
            <w:r w:rsidRPr="00BD2C40">
              <w:rPr>
                <w:b w:val="0"/>
                <w:bCs w:val="0"/>
                <w:color w:val="000000" w:themeColor="text1"/>
                <w:sz w:val="20"/>
                <w:szCs w:val="20"/>
              </w:rPr>
              <w:t>chronic malabsorption</w:t>
            </w:r>
          </w:p>
          <w:p w14:paraId="4B0C75D9" w14:textId="77777777" w:rsidR="00DE162F" w:rsidRDefault="00DE162F" w:rsidP="00DE162F">
            <w:pPr>
              <w:pStyle w:val="subhead1"/>
              <w:numPr>
                <w:ilvl w:val="0"/>
                <w:numId w:val="22"/>
              </w:numPr>
              <w:tabs>
                <w:tab w:val="left" w:pos="270"/>
              </w:tabs>
              <w:spacing w:before="0" w:after="0"/>
              <w:ind w:left="432" w:hanging="216"/>
              <w:rPr>
                <w:b w:val="0"/>
                <w:bCs w:val="0"/>
                <w:color w:val="000000" w:themeColor="text1"/>
                <w:sz w:val="20"/>
                <w:szCs w:val="20"/>
              </w:rPr>
            </w:pPr>
            <w:r w:rsidRPr="00BD2C40">
              <w:rPr>
                <w:b w:val="0"/>
                <w:bCs w:val="0"/>
                <w:color w:val="000000" w:themeColor="text1"/>
                <w:sz w:val="20"/>
                <w:szCs w:val="20"/>
              </w:rPr>
              <w:t>body mass index ≤20</w:t>
            </w:r>
          </w:p>
          <w:p w14:paraId="724F3CBD" w14:textId="6294CD7E" w:rsidR="00DE162F" w:rsidRPr="00DE162F" w:rsidRDefault="00DE162F" w:rsidP="00237913">
            <w:pPr>
              <w:pStyle w:val="subhead1"/>
              <w:numPr>
                <w:ilvl w:val="0"/>
                <w:numId w:val="22"/>
              </w:numPr>
              <w:tabs>
                <w:tab w:val="left" w:pos="270"/>
              </w:tabs>
              <w:suppressAutoHyphens/>
              <w:spacing w:before="0" w:after="0"/>
              <w:ind w:left="432" w:hanging="216"/>
              <w:rPr>
                <w:b w:val="0"/>
                <w:bCs w:val="0"/>
                <w:color w:val="000000" w:themeColor="text1"/>
                <w:sz w:val="20"/>
                <w:szCs w:val="20"/>
              </w:rPr>
            </w:pPr>
            <w:proofErr w:type="gramStart"/>
            <w:r w:rsidRPr="00BD2C40">
              <w:rPr>
                <w:b w:val="0"/>
                <w:bCs w:val="0"/>
                <w:color w:val="000000" w:themeColor="text1"/>
                <w:sz w:val="20"/>
                <w:szCs w:val="20"/>
              </w:rPr>
              <w:t>history</w:t>
            </w:r>
            <w:proofErr w:type="gramEnd"/>
            <w:r w:rsidRPr="00BD2C40">
              <w:rPr>
                <w:b w:val="0"/>
                <w:bCs w:val="0"/>
                <w:color w:val="000000" w:themeColor="text1"/>
                <w:sz w:val="20"/>
                <w:szCs w:val="20"/>
              </w:rPr>
              <w:t xml:space="preserve"> of chest x-ray findings suggestive of previous or inactive TB (no prior treatment). Includes fibrosis or non-calcified nodules, but does not include solitary calcified nodule or isolated pleural thickening. In addition to LTBI testing, evaluate for active TB disease.</w:t>
            </w:r>
          </w:p>
        </w:tc>
      </w:tr>
    </w:tbl>
    <w:p w14:paraId="060A0C67" w14:textId="77777777" w:rsidR="00542D6A" w:rsidRPr="003A7EAD" w:rsidRDefault="00542D6A" w:rsidP="00542D6A">
      <w:pPr>
        <w:pStyle w:val="subhead1"/>
      </w:pPr>
      <w:r w:rsidRPr="003A7EAD">
        <w:t>Local recommendations and other risk factors</w:t>
      </w:r>
    </w:p>
    <w:p w14:paraId="64FC5B6E" w14:textId="42004537" w:rsidR="00AC6954" w:rsidRDefault="00542D6A" w:rsidP="00542D6A">
      <w:pPr>
        <w:pStyle w:val="bodycopy"/>
        <w:spacing w:after="0"/>
      </w:pPr>
      <w:r w:rsidRPr="003A7EAD">
        <w:t xml:space="preserve">Several risk factors for TB that have been used to select patients for TB screening historically or in mandated programs are not included among the </w:t>
      </w:r>
      <w:r w:rsidR="00973904">
        <w:t>4</w:t>
      </w:r>
      <w:r w:rsidRPr="003A7EAD">
        <w:t xml:space="preserve"> components of the risk assessment. This is purposeful in order to focus testing on patients at highest risk. Local recommendations and mandates should also be considered in testing decisions. </w:t>
      </w:r>
    </w:p>
    <w:p w14:paraId="3460349E" w14:textId="77777777" w:rsidR="00AC6954" w:rsidRDefault="00AC6954" w:rsidP="00542D6A">
      <w:pPr>
        <w:pStyle w:val="bodycopy"/>
        <w:spacing w:after="0"/>
        <w:rPr>
          <w:color w:val="008080"/>
        </w:rPr>
      </w:pPr>
    </w:p>
    <w:p w14:paraId="4A8A753A" w14:textId="67BBA3F6" w:rsidR="00542D6A" w:rsidRPr="003A7EAD" w:rsidRDefault="00542D6A" w:rsidP="00542D6A">
      <w:pPr>
        <w:pStyle w:val="bodycopy"/>
        <w:spacing w:after="0"/>
      </w:pPr>
      <w:r w:rsidRPr="003A7EAD">
        <w:rPr>
          <w:b/>
        </w:rPr>
        <w:t>Providers should check with local TB control programs for local recommendations.</w:t>
      </w:r>
      <w:r w:rsidRPr="003A7EAD">
        <w:t xml:space="preserve"> </w:t>
      </w:r>
    </w:p>
    <w:p w14:paraId="3CC0198C" w14:textId="77777777" w:rsidR="00542D6A" w:rsidRPr="00EC6CDB" w:rsidRDefault="00542D6A" w:rsidP="00542D6A">
      <w:pPr>
        <w:pStyle w:val="bodycopy"/>
        <w:spacing w:before="60" w:after="0"/>
        <w:jc w:val="left"/>
      </w:pPr>
      <w:r w:rsidRPr="00EC6CDB">
        <w:t xml:space="preserve">Directory of TB Control Programs: </w:t>
      </w:r>
    </w:p>
    <w:p w14:paraId="2F00E358" w14:textId="27FFD25F" w:rsidR="00DE162F" w:rsidRDefault="00536761" w:rsidP="00DE162F">
      <w:pPr>
        <w:pStyle w:val="bodycopy"/>
      </w:pPr>
      <w:hyperlink r:id="rId16" w:history="1">
        <w:r w:rsidR="00542D6A" w:rsidRPr="003A7EAD">
          <w:t>http:/www.ctca.org/index.cfm?fuseaction=page&amp;page_id=5071</w:t>
        </w:r>
      </w:hyperlink>
    </w:p>
    <w:p w14:paraId="0B1DBB62" w14:textId="175404CD" w:rsidR="00542D6A" w:rsidRPr="00D53B42" w:rsidRDefault="00DE162F" w:rsidP="00DE162F">
      <w:pPr>
        <w:pStyle w:val="subhead1"/>
        <w:spacing w:before="0"/>
      </w:pPr>
      <w:r>
        <w:br w:type="column"/>
      </w:r>
      <w:r w:rsidR="00DF1A9C" w:rsidRPr="00F70FFC">
        <w:t xml:space="preserve"> </w:t>
      </w:r>
      <w:r w:rsidR="00542D6A" w:rsidRPr="00D53B42">
        <w:t>Age as a factor</w:t>
      </w:r>
    </w:p>
    <w:p w14:paraId="0EAA6138" w14:textId="0ABC8795" w:rsidR="00542D6A" w:rsidRPr="00D53B42" w:rsidRDefault="00542D6A" w:rsidP="00542D6A">
      <w:pPr>
        <w:pStyle w:val="bodycopy"/>
      </w:pPr>
      <w:r w:rsidRPr="00D53B42">
        <w:t>Age (among adults) is not considered in this risk assessment. However, younger adults have more years of expected life during which progression from latent infection to active TB disease could develop. Some programs or clinicians may additionally prioritize testing of younger foreign-born persons when all foreign-born are not tested.</w:t>
      </w:r>
      <w:r>
        <w:t xml:space="preserve"> An upper age limit for testing has not been established but could be appropriate depending on individual patient TB risks, comorbidities, and life expectancy.</w:t>
      </w:r>
    </w:p>
    <w:p w14:paraId="4BA80CB9" w14:textId="77777777" w:rsidR="005F41FA" w:rsidRPr="00F70FFC" w:rsidRDefault="005F41FA" w:rsidP="005F41FA">
      <w:pPr>
        <w:pStyle w:val="bodycopy"/>
        <w:spacing w:after="0"/>
        <w:rPr>
          <w:b/>
          <w:color w:val="006699"/>
          <w:sz w:val="24"/>
          <w:szCs w:val="24"/>
        </w:rPr>
      </w:pPr>
      <w:r w:rsidRPr="00F70FFC">
        <w:rPr>
          <w:b/>
          <w:color w:val="006666"/>
          <w:sz w:val="24"/>
          <w:szCs w:val="24"/>
        </w:rPr>
        <w:t>Homeless</w:t>
      </w:r>
    </w:p>
    <w:p w14:paraId="08FCE216" w14:textId="2E735861" w:rsidR="005F41FA" w:rsidRDefault="005F41FA" w:rsidP="005F41FA">
      <w:pPr>
        <w:pStyle w:val="bodycopy"/>
        <w:spacing w:after="0"/>
      </w:pPr>
      <w:r w:rsidRPr="00513D32">
        <w:t xml:space="preserve">Persons experiencing homelessness are particularly vulnerable to TB. Factors such as crowded living situations, lack of access to health care, and delayed diagnosis increase the risk of transmission in this population.  </w:t>
      </w:r>
    </w:p>
    <w:p w14:paraId="396057CF" w14:textId="77777777" w:rsidR="00542D6A" w:rsidRPr="00D53B42" w:rsidRDefault="00542D6A" w:rsidP="00DE162F">
      <w:pPr>
        <w:pStyle w:val="subhead1"/>
      </w:pPr>
      <w:r w:rsidRPr="00D53B42">
        <w:t>Child</w:t>
      </w:r>
      <w:r w:rsidRPr="00DE162F">
        <w:t>ren</w:t>
      </w:r>
    </w:p>
    <w:p w14:paraId="40156CD0" w14:textId="77777777" w:rsidR="00542D6A" w:rsidRPr="008F2803" w:rsidRDefault="00542D6A" w:rsidP="00542D6A">
      <w:pPr>
        <w:pStyle w:val="bodycopy"/>
      </w:pPr>
      <w:r w:rsidRPr="008F2803">
        <w:t xml:space="preserve">The risk assessment form is intended for adults. The American Academy of Pediatrics has created four validated risk assessment questions in children. See: American Academy of Pediatrics. Tuberculosis. In: </w:t>
      </w:r>
      <w:proofErr w:type="spellStart"/>
      <w:r w:rsidRPr="008F2803">
        <w:t>Kimberlin</w:t>
      </w:r>
      <w:proofErr w:type="spellEnd"/>
      <w:r w:rsidRPr="008F2803">
        <w:t xml:space="preserve"> DW, Brady MT, Jackson MA, Long SS, eds. Red Book</w:t>
      </w:r>
      <w:r w:rsidRPr="008F2803">
        <w:rPr>
          <w:vertAlign w:val="superscript"/>
        </w:rPr>
        <w:t>®</w:t>
      </w:r>
      <w:r w:rsidRPr="008F2803">
        <w:t>: 2015 Report of the Committee on Infectious Diseases. American Academy of Pediatrics; 2015; 805-831</w:t>
      </w:r>
    </w:p>
    <w:p w14:paraId="3C02FE86" w14:textId="77777777" w:rsidR="00542D6A" w:rsidRPr="00D53B42" w:rsidRDefault="00542D6A" w:rsidP="00542D6A">
      <w:pPr>
        <w:pStyle w:val="subhead1"/>
      </w:pPr>
      <w:r w:rsidRPr="00D53B42">
        <w:t>Decision to test is a decision to treat</w:t>
      </w:r>
    </w:p>
    <w:p w14:paraId="3DB0C02A" w14:textId="2A7F31B8" w:rsidR="00D53B42" w:rsidRPr="00D53B42" w:rsidRDefault="003A7EAD" w:rsidP="002A3D79">
      <w:pPr>
        <w:pStyle w:val="bodycopy"/>
      </w:pPr>
      <w:r w:rsidRPr="00D53B42">
        <w:t xml:space="preserve">Because testing of persons at low risk of </w:t>
      </w:r>
      <w:r w:rsidR="00542D6A">
        <w:t>LTBI</w:t>
      </w:r>
      <w:r w:rsidRPr="00D53B42">
        <w:t xml:space="preserve"> should not be done, persons that test positive for LTBI should generally be treated once active TB disease has been ruled out with a chest radiograph and, if indicated, sputum smears, cultures, and nucleic acid amplification testing.</w:t>
      </w:r>
    </w:p>
    <w:p w14:paraId="761B00FA" w14:textId="5F186A07" w:rsidR="00D53B42" w:rsidRPr="00D53B42" w:rsidRDefault="003A7EAD" w:rsidP="00272E1B">
      <w:pPr>
        <w:pStyle w:val="subhead1"/>
      </w:pPr>
      <w:r w:rsidRPr="00D53B42">
        <w:t>When to repeat a test</w:t>
      </w:r>
    </w:p>
    <w:p w14:paraId="05015DDA" w14:textId="0681FE1C" w:rsidR="00D53B42" w:rsidRPr="00D53B42" w:rsidRDefault="003A7EAD" w:rsidP="002A3D79">
      <w:pPr>
        <w:pStyle w:val="bodycopy"/>
      </w:pPr>
      <w:r w:rsidRPr="00D53B42">
        <w:t>Re-testing should only be done in persons who previously tested negative, and have new risk factors since the last assessment. In general, this would include new close contact with an infectious TB case or new immunosuppression, but could also include foreign travel in certain circumstances (e.g., extended duration, likely contact with infectious TB cases, high TB prevalence of TB in travel location).</w:t>
      </w:r>
      <w:r w:rsidR="00D53B42" w:rsidRPr="00D53B42">
        <w:t xml:space="preserve"> </w:t>
      </w:r>
    </w:p>
    <w:p w14:paraId="07EC5332" w14:textId="77777777" w:rsidR="00D53B42" w:rsidRPr="00D53B42" w:rsidRDefault="00D53B42" w:rsidP="00272E1B">
      <w:pPr>
        <w:pStyle w:val="subhead1"/>
      </w:pPr>
      <w:r w:rsidRPr="00D53B42">
        <w:t>When to repeat a risk assessment</w:t>
      </w:r>
    </w:p>
    <w:p w14:paraId="2488E473" w14:textId="7BC4E5FF" w:rsidR="00E21646" w:rsidRDefault="003A7EAD" w:rsidP="00CA3F34">
      <w:pPr>
        <w:pStyle w:val="bodycopy"/>
      </w:pPr>
      <w:r w:rsidRPr="00D53B42">
        <w:t>The risk assessment should be administered at least once. Persons can be screened for new risk factors at subsequent preventive health visits.</w:t>
      </w:r>
    </w:p>
    <w:p w14:paraId="179E1F12" w14:textId="5FCEE65E" w:rsidR="003A7EAD" w:rsidRDefault="00C16855" w:rsidP="0031192B">
      <w:pPr>
        <w:pStyle w:val="subhead1"/>
        <w:rPr>
          <w:b w:val="0"/>
          <w:bCs w:val="0"/>
          <w:color w:val="000000" w:themeColor="text1"/>
          <w:sz w:val="20"/>
          <w:szCs w:val="20"/>
        </w:rPr>
      </w:pPr>
      <w:r>
        <w:rPr>
          <w:b w:val="0"/>
          <w:bCs w:val="0"/>
          <w:noProof/>
        </w:rPr>
        <mc:AlternateContent>
          <mc:Choice Requires="wps">
            <w:drawing>
              <wp:anchor distT="0" distB="0" distL="114300" distR="114300" simplePos="0" relativeHeight="251674624" behindDoc="0" locked="1" layoutInCell="1" allowOverlap="1" wp14:anchorId="0C79DF52" wp14:editId="27B41721">
                <wp:simplePos x="0" y="0"/>
                <wp:positionH relativeFrom="page">
                  <wp:posOffset>3886200</wp:posOffset>
                </wp:positionH>
                <wp:positionV relativeFrom="page">
                  <wp:posOffset>1444625</wp:posOffset>
                </wp:positionV>
                <wp:extent cx="0" cy="7699375"/>
                <wp:effectExtent l="0" t="0" r="25400" b="22225"/>
                <wp:wrapNone/>
                <wp:docPr id="14" name="Straight Connector 14"/>
                <wp:cNvGraphicFramePr/>
                <a:graphic xmlns:a="http://schemas.openxmlformats.org/drawingml/2006/main">
                  <a:graphicData uri="http://schemas.microsoft.com/office/word/2010/wordprocessingShape">
                    <wps:wsp>
                      <wps:cNvCnPr/>
                      <wps:spPr>
                        <a:xfrm>
                          <a:off x="0" y="0"/>
                          <a:ext cx="0" cy="7699375"/>
                        </a:xfrm>
                        <a:prstGeom prst="line">
                          <a:avLst/>
                        </a:prstGeom>
                        <a:ln w="6350">
                          <a:solidFill>
                            <a:srgbClr val="C4DA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C981371" id="Straight Connector 14" o:spid="_x0000_s1026" style="position:absolute;z-index:2516746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06pt,113.75pt" to="306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gj5AEAAB0EAAAOAAAAZHJzL2Uyb0RvYy54bWysU9tu2zAMfR+wfxD0vthJ27Q14hRDsu5l&#10;2IJ2+wBFlmwBuoHS4uTvR8mOE2zDBgx7kSWSh4eHpFdPR6PJQUBQztZ0PispEZa7Rtm2pt++Pr97&#10;oCREZhumnRU1PYlAn9Zv36x6X4mF65xuBBBMYkPV+5p2MfqqKALvhGFh5ryw6JQODIv4hLZogPWY&#10;3ehiUZbLonfQeHBchIDW7eCk65xfSsHjFymDiETXFGuL+YR87tNZrFesaoH5TvGxDPYPVRimLJJO&#10;qbYsMvId1C+pjOLggpNxxp0pnJSKi6wB1czLn9S8dsyLrAWbE/zUpvD/0vLPhx0Q1eDsbimxzOCM&#10;XiMw1XaRbJy12EEHBJ3Yqd6HCgEbu4PxFfwOkuyjBJO+KIgcc3dPU3fFMRI+GDla75ePjzf3dylf&#10;cQF6CPGjcIakS021skk4q9jhU4hD6DkkmbUlfU2XN3dljgpOq+ZZaZ18Adr9RgM5MJz55nb7/sPD&#10;SHYVhtTapmiRl2QkSQIHSfkWT1oMbC9CYpNQxGLgS+spJhLGubBxPrJoi9EJJrGgCTgW+ifgGH+p&#10;agLP/8466DgzOxsnsFHWwe8SxOO5ZDnE40SudKfr3jWnPOzswB3MQxv/l7Tk1+8Mv/zV6x8AAAD/&#10;/wMAUEsDBBQABgAIAAAAIQDk3bf74AAAAAwBAAAPAAAAZHJzL2Rvd25yZXYueG1sTI9NT8MwDIbv&#10;SPyHyEhcEEtXtjGVphMa2pHDPqRxTBvTVEucqsm28u8x4gBH249eP2+5Gr0TFxxiF0jBdJKBQGqC&#10;6ahVcNhvHpcgYtJktAuECr4wwqq6vSl1YcKVtnjZpVZwCMVCK7Ap9YWUsbHodZyEHolvn2HwOvE4&#10;tNIM+srh3sk8yxbS6474g9U9ri02p93ZK3h4ctjMPzb+7Tge6/3pfXtYrq1S93fj6wuIhGP6g+FH&#10;n9WhYqc6nMlE4RQspjl3SQry/HkOgonfTc3obJZlIKtS/i9RfQMAAP//AwBQSwECLQAUAAYACAAA&#10;ACEAtoM4kv4AAADhAQAAEwAAAAAAAAAAAAAAAAAAAAAAW0NvbnRlbnRfVHlwZXNdLnhtbFBLAQIt&#10;ABQABgAIAAAAIQA4/SH/1gAAAJQBAAALAAAAAAAAAAAAAAAAAC8BAABfcmVscy8ucmVsc1BLAQIt&#10;ABQABgAIAAAAIQAYSHgj5AEAAB0EAAAOAAAAAAAAAAAAAAAAAC4CAABkcnMvZTJvRG9jLnhtbFBL&#10;AQItABQABgAIAAAAIQDk3bf74AAAAAwBAAAPAAAAAAAAAAAAAAAAAD4EAABkcnMvZG93bnJldi54&#10;bWxQSwUGAAAAAAQABADzAAAASwUAAAAA&#10;" strokecolor="#c4dae8" strokeweight=".5pt">
                <w10:wrap anchorx="page" anchory="page"/>
                <w10:anchorlock/>
              </v:line>
            </w:pict>
          </mc:Fallback>
        </mc:AlternateContent>
      </w:r>
      <w:r w:rsidR="00160345">
        <w:br w:type="column"/>
      </w:r>
    </w:p>
    <w:p w14:paraId="01BCFEDF" w14:textId="77777777" w:rsidR="0009390E" w:rsidRDefault="00160345" w:rsidP="00D14564">
      <w:pPr>
        <w:pStyle w:val="NoSpacing"/>
        <w:spacing w:line="20" w:lineRule="exact"/>
        <w:sectPr w:rsidR="0009390E" w:rsidSect="00160345">
          <w:type w:val="continuous"/>
          <w:pgSz w:w="12240" w:h="15840"/>
          <w:pgMar w:top="720" w:right="1080" w:bottom="720" w:left="1080" w:header="0" w:footer="288" w:gutter="0"/>
          <w:cols w:num="2" w:space="547"/>
          <w:docGrid w:linePitch="360"/>
        </w:sectPr>
      </w:pPr>
      <w:r>
        <w:br w:type="column"/>
      </w:r>
    </w:p>
    <w:p w14:paraId="0A3C67DE" w14:textId="5D2649A3" w:rsidR="0009390E" w:rsidRPr="008511A9" w:rsidRDefault="0009390E" w:rsidP="0009390E">
      <w:pPr>
        <w:pStyle w:val="NoSpacing"/>
        <w:spacing w:line="500" w:lineRule="exact"/>
        <w:rPr>
          <w:rFonts w:ascii="Arial Narrow" w:hAnsi="Arial Narrow"/>
          <w:i/>
          <w:color w:val="808080" w:themeColor="background1" w:themeShade="80"/>
          <w:sz w:val="24"/>
          <w:szCs w:val="24"/>
        </w:rPr>
      </w:pPr>
      <w:r w:rsidRPr="008511A9">
        <w:rPr>
          <w:rFonts w:ascii="Arial Narrow" w:hAnsi="Arial Narrow"/>
          <w:b/>
          <w:color w:val="000000" w:themeColor="text1"/>
          <w:sz w:val="36"/>
          <w:szCs w:val="36"/>
        </w:rPr>
        <w:t xml:space="preserve"> Tuberculosis Risk Assessment Fact Sheet</w:t>
      </w:r>
      <w:r w:rsidR="00D14564" w:rsidRPr="008511A9">
        <w:rPr>
          <w:rFonts w:ascii="Arial Narrow" w:hAnsi="Arial Narrow"/>
          <w:b/>
          <w:color w:val="808080" w:themeColor="background1" w:themeShade="80"/>
          <w:sz w:val="36"/>
          <w:szCs w:val="36"/>
        </w:rPr>
        <w:t xml:space="preserve"> </w:t>
      </w:r>
      <w:r w:rsidR="00D14564" w:rsidRPr="008511A9">
        <w:rPr>
          <w:rFonts w:ascii="Arial Narrow" w:hAnsi="Arial Narrow"/>
          <w:i/>
          <w:color w:val="808080" w:themeColor="background1" w:themeShade="80"/>
          <w:sz w:val="24"/>
          <w:szCs w:val="24"/>
        </w:rPr>
        <w:t>— continued</w:t>
      </w:r>
    </w:p>
    <w:p w14:paraId="380A7A6F" w14:textId="3DBD55FA" w:rsidR="0009390E" w:rsidRDefault="0009390E" w:rsidP="00272E1B">
      <w:pPr>
        <w:pStyle w:val="subhead1"/>
        <w:sectPr w:rsidR="0009390E" w:rsidSect="0009390E">
          <w:type w:val="continuous"/>
          <w:pgSz w:w="12240" w:h="15840"/>
          <w:pgMar w:top="720" w:right="1080" w:bottom="720" w:left="1080" w:header="0" w:footer="288" w:gutter="0"/>
          <w:cols w:space="720"/>
          <w:docGrid w:linePitch="360"/>
        </w:sectPr>
      </w:pPr>
    </w:p>
    <w:p w14:paraId="798876DB" w14:textId="77777777" w:rsidR="00CB31D3" w:rsidRPr="00D53B42" w:rsidRDefault="00CB31D3" w:rsidP="00CB31D3">
      <w:pPr>
        <w:pStyle w:val="subhead1"/>
      </w:pPr>
      <w:r w:rsidRPr="00D53B42">
        <w:t>Mandated testing</w:t>
      </w:r>
    </w:p>
    <w:p w14:paraId="0344AE7E" w14:textId="4BB8631E" w:rsidR="00CB31D3" w:rsidRPr="00D53B42" w:rsidRDefault="00CB31D3" w:rsidP="00CB31D3">
      <w:pPr>
        <w:pStyle w:val="bodycopy"/>
      </w:pPr>
      <w:r w:rsidRPr="00D53B42">
        <w:t>Certain populations may be mandated for testing by statute, regulation, or policy</w:t>
      </w:r>
      <w:r>
        <w:t xml:space="preserve"> and have specific documentation forms</w:t>
      </w:r>
      <w:r w:rsidRPr="00D53B42">
        <w:t>. This risk assessment does not supersede any mandated testing. Examples of these populations include: healthcare workers, residents or employees of correctional institutions, substance abuse treatment facilities, homeless shelters, and others.</w:t>
      </w:r>
      <w:r w:rsidRPr="0031192B">
        <w:rPr>
          <w:rFonts w:cstheme="minorHAnsi"/>
          <w:b/>
          <w:noProof/>
        </w:rPr>
        <w:t xml:space="preserve"> </w:t>
      </w:r>
      <w:r w:rsidRPr="0031192B">
        <w:rPr>
          <w:rFonts w:cstheme="minorHAnsi"/>
          <w:b/>
          <w:noProof/>
        </w:rPr>
        <mc:AlternateContent>
          <mc:Choice Requires="wps">
            <w:drawing>
              <wp:anchor distT="0" distB="0" distL="114300" distR="114300" simplePos="0" relativeHeight="251689984" behindDoc="0" locked="0" layoutInCell="1" allowOverlap="1" wp14:anchorId="7CE6BFDB" wp14:editId="3B5B3B95">
                <wp:simplePos x="0" y="0"/>
                <wp:positionH relativeFrom="page">
                  <wp:posOffset>685800</wp:posOffset>
                </wp:positionH>
                <wp:positionV relativeFrom="page">
                  <wp:posOffset>9509760</wp:posOffset>
                </wp:positionV>
                <wp:extent cx="6400800" cy="3200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6400800" cy="3200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90029D9" w14:textId="77777777" w:rsidR="00CB31D3" w:rsidRPr="00541183" w:rsidRDefault="00CB31D3" w:rsidP="00CB31D3">
                            <w:pPr>
                              <w:pBdr>
                                <w:top w:val="single" w:sz="8" w:space="6" w:color="9EB2B5"/>
                              </w:pBdr>
                              <w:spacing w:after="0" w:line="240" w:lineRule="auto"/>
                              <w:jc w:val="center"/>
                              <w:rPr>
                                <w:rFonts w:ascii="Arial Narrow Bold" w:hAnsi="Arial Narrow Bold"/>
                                <w:color w:val="4F6771"/>
                                <w:sz w:val="20"/>
                                <w:szCs w:val="20"/>
                              </w:rPr>
                            </w:pPr>
                            <w:r w:rsidRPr="00541183">
                              <w:rPr>
                                <w:rFonts w:ascii="Arial Narrow Bold" w:hAnsi="Arial Narrow Bold" w:cs="Helvetica"/>
                                <w:color w:val="4F6771"/>
                                <w:sz w:val="20"/>
                                <w:szCs w:val="20"/>
                              </w:rPr>
                              <w:t>Adapted for local use from the California Tuberculosis Risk Assessment available on the PROVIDERS page at www.ctca.org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6BFDB" id="_x0000_t202" coordsize="21600,21600" o:spt="202" path="m,l,21600r21600,l21600,xe">
                <v:stroke joinstyle="miter"/>
                <v:path gradientshapeok="t" o:connecttype="rect"/>
              </v:shapetype>
              <v:shape id="Text Box 4" o:spid="_x0000_s1026" type="#_x0000_t202" style="position:absolute;left:0;text-align:left;margin-left:54pt;margin-top:748.8pt;width:7in;height:25.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wleAIAAMUEAAAOAAAAZHJzL2Uyb0RvYy54bWysVE1v2zAMvQ/YfxB0d22nzpdRp1BjeBhQ&#10;tAWSoWdFlhsDtqRJSuxs2H8fJcfJ1u007KLQJEWR7z3m7r5vG3Tk2tRSZDi+iTDigsmyFm8Z/rIt&#10;ggVGxlJR0kYKnuETN/h+9fHDXadSPpF72ZRcIygiTNqpDO+tVWkYGrbnLTU3UnEBwUrqllr41G9h&#10;qWkH1dsmnETRLOykLpWWjBsD3nwI4pWvX1Wc2eeqMtyiJsPQm/Wn9ufOneHqjqZvmqp9zc5t0H/o&#10;oqW1gEcvpXJqKTro+o9Sbc20NLKyN0y2oayqmnE/A0wTR++m2eyp4n4WAMeoC0zm/5VlT8cXjeoy&#10;wwlGgrZA0Zb3Fj3IHiUOnU6ZFJI2CtJsD25gefQbcLqh+0q37hfGQRAHnE8XbF0xBs5ZEkWLCEIM&#10;YrdAXeLBD6+3lTb2E5ctckaGNXDnIaXHR2OhE0gdU9xjQhZ103j+GvGbAxIHD/cCGG7TFDoB02W6&#10;njw53wtCJrP8Ng/yxXIeJDs+CRZFlAQPJJnG6/m8iPP5j0Ek10vr6XxC5tNlMCPTOEjiaBEQEk2C&#10;vCARiZJivUwe/CVoZHw0dDgOeDnL9rv+DO5OlifAVstBm0axogYAHqmxL1SDGAEzWDD7DEfVyC7D&#10;8mxhtJf629/8Lh80AlGMOhB3hs3XA9Uco+azAPW4TRgNPRq70RCHdi1hX2JYXcW8CRe0bUaz0rJ9&#10;hb0j7hUIUcHgrQzb0VzbYcVgbxknxCeB3hW1j2KjmCvteHB0bvtXqtWZcwtwPclR9jR9R/2QO3BN&#10;DlZWtdeFA3RAEUTiPmBXvFzOe+2W8ddvn3X991n9BAAA//8DAFBLAwQUAAYACAAAACEAwR/q/t8A&#10;AAAOAQAADwAAAGRycy9kb3ducmV2LnhtbExPQU7DMBC8I/EHa5G4USeohDbEqSoEJyREGg4cnXib&#10;WI3XIXbb8Hu2J7jN7IxmZ4rN7AZxwilYTwrSRQICqfXGUqfgs369W4EIUZPRgydU8IMBNuX1VaFz&#10;489U4WkXO8EhFHKtoI9xzKUMbY9Oh4UfkVjb+8npyHTqpJn0mcPdIO+TJJNOW+IPvR7xucf2sDs6&#10;Bdsvql7s93vzUe0rW9frhN6yg1K3N/P2CUTEOf6Z4VKfq0PJnRp/JBPEwDxZ8ZbIYLl+zEBcLGma&#10;8a1h9LBkVZaF/D+j/AUAAP//AwBQSwECLQAUAAYACAAAACEAtoM4kv4AAADhAQAAEwAAAAAAAAAA&#10;AAAAAAAAAAAAW0NvbnRlbnRfVHlwZXNdLnhtbFBLAQItABQABgAIAAAAIQA4/SH/1gAAAJQBAAAL&#10;AAAAAAAAAAAAAAAAAC8BAABfcmVscy8ucmVsc1BLAQItABQABgAIAAAAIQCsEjwleAIAAMUEAAAO&#10;AAAAAAAAAAAAAAAAAC4CAABkcnMvZTJvRG9jLnhtbFBLAQItABQABgAIAAAAIQDBH+r+3wAAAA4B&#10;AAAPAAAAAAAAAAAAAAAAANIEAABkcnMvZG93bnJldi54bWxQSwUGAAAAAAQABADzAAAA3gUAAAAA&#10;" filled="f" stroked="f">
                <v:textbox inset="0,0,0,0">
                  <w:txbxContent>
                    <w:p w14:paraId="090029D9" w14:textId="77777777" w:rsidR="00CB31D3" w:rsidRPr="00541183" w:rsidRDefault="00CB31D3" w:rsidP="00CB31D3">
                      <w:pPr>
                        <w:pBdr>
                          <w:top w:val="single" w:sz="8" w:space="6" w:color="9EB2B5"/>
                        </w:pBdr>
                        <w:spacing w:after="0" w:line="240" w:lineRule="auto"/>
                        <w:jc w:val="center"/>
                        <w:rPr>
                          <w:rFonts w:ascii="Arial Narrow Bold" w:hAnsi="Arial Narrow Bold"/>
                          <w:color w:val="4F6771"/>
                          <w:sz w:val="20"/>
                          <w:szCs w:val="20"/>
                        </w:rPr>
                      </w:pPr>
                      <w:r w:rsidRPr="00541183">
                        <w:rPr>
                          <w:rFonts w:ascii="Arial Narrow Bold" w:hAnsi="Arial Narrow Bold" w:cs="Helvetica"/>
                          <w:color w:val="4F6771"/>
                          <w:sz w:val="20"/>
                          <w:szCs w:val="20"/>
                        </w:rPr>
                        <w:t xml:space="preserve">Adapted </w:t>
                      </w:r>
                      <w:bookmarkStart w:id="2" w:name="_GoBack"/>
                      <w:bookmarkEnd w:id="2"/>
                      <w:r w:rsidRPr="00541183">
                        <w:rPr>
                          <w:rFonts w:ascii="Arial Narrow Bold" w:hAnsi="Arial Narrow Bold" w:cs="Helvetica"/>
                          <w:color w:val="4F6771"/>
                          <w:sz w:val="20"/>
                          <w:szCs w:val="20"/>
                        </w:rPr>
                        <w:t>for local use from the California Tuberculosis Risk Assessment available on the PROVIDERS page at www.ctca.org</w:t>
                      </w:r>
                    </w:p>
                  </w:txbxContent>
                </v:textbox>
                <w10:wrap anchorx="page" anchory="page"/>
              </v:shape>
            </w:pict>
          </mc:Fallback>
        </mc:AlternateContent>
      </w:r>
    </w:p>
    <w:p w14:paraId="149BADCE" w14:textId="77777777" w:rsidR="00CB31D3" w:rsidRDefault="00CB31D3" w:rsidP="00366C53">
      <w:pPr>
        <w:pStyle w:val="subhead1"/>
        <w:spacing w:before="0"/>
      </w:pPr>
    </w:p>
    <w:p w14:paraId="4302A86D" w14:textId="77777777" w:rsidR="00DE162F" w:rsidRPr="00D53B42" w:rsidRDefault="00DE162F" w:rsidP="00366C53">
      <w:pPr>
        <w:pStyle w:val="subhead1"/>
        <w:spacing w:before="0"/>
      </w:pPr>
      <w:r w:rsidRPr="00D53B42">
        <w:t>IGRA preference in BCG vaccinated</w:t>
      </w:r>
    </w:p>
    <w:p w14:paraId="27F37CAC" w14:textId="5804448C" w:rsidR="00DE162F" w:rsidRDefault="00DE162F" w:rsidP="00DE162F">
      <w:pPr>
        <w:pStyle w:val="bodycopy"/>
      </w:pPr>
      <w:r w:rsidRPr="00D53B42">
        <w:t>Because IGRA has increased specificity for TB infection in persons vaccinated with BCG, IGRA is preferred over the TST in these persons.</w:t>
      </w:r>
      <w:r>
        <w:t xml:space="preserve"> Most persons born outside the United States have been vaccinated with BCG.</w:t>
      </w:r>
    </w:p>
    <w:p w14:paraId="75546203" w14:textId="1F6889D4" w:rsidR="008F2803" w:rsidRPr="00D53B42" w:rsidRDefault="008F2803" w:rsidP="008F2803">
      <w:pPr>
        <w:pStyle w:val="subhead1"/>
      </w:pPr>
      <w:r>
        <w:t xml:space="preserve">Previous or </w:t>
      </w:r>
      <w:r w:rsidR="00F12DAD">
        <w:t>i</w:t>
      </w:r>
      <w:r w:rsidRPr="00D53B42">
        <w:t>nactive tuberculosis</w:t>
      </w:r>
    </w:p>
    <w:p w14:paraId="4140F34B" w14:textId="77777777" w:rsidR="008F2803" w:rsidRPr="00D53B42" w:rsidRDefault="008F2803" w:rsidP="008F2803">
      <w:pPr>
        <w:pStyle w:val="bodycopy"/>
      </w:pPr>
      <w:r w:rsidRPr="00D53B42">
        <w:t xml:space="preserve">Chest radiograph findings consistent with </w:t>
      </w:r>
      <w:r>
        <w:t>previous or inactive</w:t>
      </w:r>
      <w:r w:rsidRPr="00D53B42">
        <w:t xml:space="preserve"> TB include fibrosis or non-calcified nodules, but do not include a solitary calcified nodule or isolated pleural thickening. Persons with a previous chest radiograph showing findings consistent with </w:t>
      </w:r>
      <w:r>
        <w:t xml:space="preserve">previous or </w:t>
      </w:r>
      <w:r w:rsidRPr="00D53B42">
        <w:t xml:space="preserve">inactive TB should be tested for LTBI. In addition to LTBI testing, evaluate for active TB disease. </w:t>
      </w:r>
    </w:p>
    <w:p w14:paraId="73C254CB" w14:textId="241B9C3F" w:rsidR="008F2803" w:rsidRPr="00D53B42" w:rsidRDefault="008F2803" w:rsidP="008F2803">
      <w:pPr>
        <w:pStyle w:val="subhead1"/>
      </w:pPr>
      <w:r w:rsidRPr="00D53B42">
        <w:t xml:space="preserve">Negative test for </w:t>
      </w:r>
      <w:r w:rsidR="00F12DAD">
        <w:t>LTBI</w:t>
      </w:r>
      <w:r w:rsidRPr="00D53B42">
        <w:t xml:space="preserve"> does not rule out </w:t>
      </w:r>
      <w:r w:rsidR="00F12DAD">
        <w:br/>
      </w:r>
      <w:r w:rsidRPr="00D53B42">
        <w:t>active TB</w:t>
      </w:r>
      <w:r w:rsidR="00F12DAD">
        <w:t xml:space="preserve"> disease</w:t>
      </w:r>
    </w:p>
    <w:p w14:paraId="327DD110" w14:textId="33844F14" w:rsidR="00D53B42" w:rsidRPr="00D53B42" w:rsidRDefault="008F2803" w:rsidP="008F2803">
      <w:pPr>
        <w:pStyle w:val="bodycopy"/>
      </w:pPr>
      <w:r w:rsidRPr="00D53B42">
        <w:t xml:space="preserve">It is important to remember that a negative TST or IGRA result does not rule out active TB. In fact, a negative TST or IGRA in a </w:t>
      </w:r>
      <w:r w:rsidRPr="008F2803">
        <w:t>patient</w:t>
      </w:r>
      <w:r w:rsidRPr="00D53B42">
        <w:t xml:space="preserve"> with active TB can be a sign of extensive disease and poor outcome.</w:t>
      </w:r>
    </w:p>
    <w:p w14:paraId="01939EDA" w14:textId="158FBCFE" w:rsidR="00F12DAD" w:rsidRPr="00D53B42" w:rsidRDefault="00F12DAD" w:rsidP="00F12DAD">
      <w:pPr>
        <w:pStyle w:val="subhead1"/>
      </w:pPr>
      <w:r w:rsidRPr="00D53B42">
        <w:t xml:space="preserve">Symptoms that should trigger evaluation for </w:t>
      </w:r>
      <w:r>
        <w:br/>
      </w:r>
      <w:r w:rsidRPr="00D53B42">
        <w:t>active TB</w:t>
      </w:r>
      <w:r>
        <w:t xml:space="preserve"> disease</w:t>
      </w:r>
    </w:p>
    <w:p w14:paraId="1741D109" w14:textId="5F22DDB1" w:rsidR="00F12DAD" w:rsidRPr="00D53B42" w:rsidRDefault="00F12DAD" w:rsidP="00F12DAD">
      <w:pPr>
        <w:pStyle w:val="bodycopy"/>
      </w:pPr>
      <w:r w:rsidRPr="00D53B42">
        <w:t>Patients with any of the following symptoms that are otherwise unexplained should be evaluated for active TB</w:t>
      </w:r>
      <w:r w:rsidR="00BD2C40">
        <w:t xml:space="preserve"> disease</w:t>
      </w:r>
      <w:r w:rsidRPr="00D53B42">
        <w:t xml:space="preserve">: cough for more than 2-3 weeks, fevers, night sweats, weight loss, </w:t>
      </w:r>
      <w:proofErr w:type="gramStart"/>
      <w:r w:rsidRPr="00D53B42">
        <w:t>hemopt</w:t>
      </w:r>
      <w:r w:rsidR="00993835">
        <w:t>y</w:t>
      </w:r>
      <w:r w:rsidRPr="00D53B42">
        <w:t>sis</w:t>
      </w:r>
      <w:proofErr w:type="gramEnd"/>
      <w:r w:rsidRPr="00D53B42">
        <w:t>.</w:t>
      </w:r>
    </w:p>
    <w:p w14:paraId="5BC52071" w14:textId="77777777" w:rsidR="00D53B42" w:rsidRPr="00D53B42" w:rsidRDefault="00D53B42" w:rsidP="002A3D79">
      <w:pPr>
        <w:pStyle w:val="bodycopy"/>
      </w:pPr>
    </w:p>
    <w:p w14:paraId="239836FB" w14:textId="77777777" w:rsidR="00CB31D3" w:rsidRDefault="002A1A9D" w:rsidP="00366C53">
      <w:pPr>
        <w:pStyle w:val="subhead1"/>
        <w:spacing w:before="0"/>
      </w:pPr>
      <w:r>
        <w:br w:type="column"/>
      </w:r>
    </w:p>
    <w:p w14:paraId="319E9D7C" w14:textId="218208E3" w:rsidR="00F12DAD" w:rsidRDefault="00F12DAD" w:rsidP="00366C53">
      <w:pPr>
        <w:pStyle w:val="subhead1"/>
        <w:spacing w:before="0"/>
      </w:pPr>
      <w:r w:rsidRPr="00D53B42">
        <w:t>Emphasis on short course for treatment of LTBI</w:t>
      </w:r>
    </w:p>
    <w:p w14:paraId="2D0C6E5F" w14:textId="77777777" w:rsidR="00F12DAD" w:rsidRPr="00D53B42" w:rsidRDefault="00F12DAD" w:rsidP="00F12DAD">
      <w:pPr>
        <w:pStyle w:val="bodycopy"/>
      </w:pPr>
      <w:r w:rsidRPr="00D53B42">
        <w:t>Shorter regimens for treating LTBI have been shown to be more likely to be completed and the 12-dose regimen has been shown to be as effective as 9 months of isoniazid. Use of these shorter regimens is preferred in most patients. Drug-drug interactions and contact to drug resistant TB are frequent reasons these regimens cannot be used.</w:t>
      </w:r>
    </w:p>
    <w:p w14:paraId="7E851D16" w14:textId="3F955534" w:rsidR="008F2803" w:rsidRPr="00D53B42" w:rsidRDefault="008F2803" w:rsidP="008F2803">
      <w:pPr>
        <w:pStyle w:val="subhead1"/>
        <w:spacing w:after="240"/>
      </w:pPr>
      <w:r w:rsidRPr="00D53B42">
        <w:t>Shorter duration LTBI treatment regimens</w:t>
      </w:r>
    </w:p>
    <w:tbl>
      <w:tblPr>
        <w:tblStyle w:val="TableGrid"/>
        <w:tblW w:w="4770" w:type="dxa"/>
        <w:tblBorders>
          <w:top w:val="single" w:sz="24" w:space="0" w:color="6B94A9"/>
          <w:left w:val="none" w:sz="0" w:space="0" w:color="auto"/>
          <w:bottom w:val="single" w:sz="24" w:space="0" w:color="6B94A9"/>
          <w:right w:val="none" w:sz="0" w:space="0" w:color="auto"/>
          <w:insideH w:val="single" w:sz="4" w:space="0" w:color="B8C9CF"/>
          <w:insideV w:val="single" w:sz="4" w:space="0" w:color="B8C9CF"/>
        </w:tblBorders>
        <w:tblLayout w:type="fixed"/>
        <w:tblLook w:val="04A0" w:firstRow="1" w:lastRow="0" w:firstColumn="1" w:lastColumn="0" w:noHBand="0" w:noVBand="1"/>
      </w:tblPr>
      <w:tblGrid>
        <w:gridCol w:w="2070"/>
        <w:gridCol w:w="1350"/>
        <w:gridCol w:w="1350"/>
      </w:tblGrid>
      <w:tr w:rsidR="00F12DAD" w:rsidRPr="00F416AB" w14:paraId="47CA736C" w14:textId="77777777" w:rsidTr="0031192B">
        <w:tc>
          <w:tcPr>
            <w:tcW w:w="2070" w:type="dxa"/>
            <w:tcBorders>
              <w:top w:val="single" w:sz="24" w:space="0" w:color="6B94A9"/>
              <w:bottom w:val="single" w:sz="24" w:space="0" w:color="B8C9CF"/>
            </w:tcBorders>
            <w:tcMar>
              <w:top w:w="72" w:type="dxa"/>
              <w:left w:w="0" w:type="dxa"/>
              <w:right w:w="0" w:type="dxa"/>
            </w:tcMar>
            <w:vAlign w:val="center"/>
          </w:tcPr>
          <w:p w14:paraId="53B9C409" w14:textId="77777777" w:rsidR="00F12DAD" w:rsidRPr="00F416AB" w:rsidRDefault="00F12DAD" w:rsidP="00DE162F">
            <w:pPr>
              <w:pStyle w:val="bodycopy"/>
              <w:jc w:val="center"/>
              <w:rPr>
                <w:b/>
              </w:rPr>
            </w:pPr>
            <w:r w:rsidRPr="00F416AB">
              <w:rPr>
                <w:b/>
              </w:rPr>
              <w:t>Medication</w:t>
            </w:r>
          </w:p>
        </w:tc>
        <w:tc>
          <w:tcPr>
            <w:tcW w:w="1350" w:type="dxa"/>
            <w:tcBorders>
              <w:top w:val="single" w:sz="24" w:space="0" w:color="6B94A9"/>
              <w:bottom w:val="single" w:sz="24" w:space="0" w:color="B8C9CF"/>
            </w:tcBorders>
            <w:tcMar>
              <w:top w:w="72" w:type="dxa"/>
              <w:left w:w="0" w:type="dxa"/>
              <w:right w:w="0" w:type="dxa"/>
            </w:tcMar>
            <w:vAlign w:val="center"/>
          </w:tcPr>
          <w:p w14:paraId="18A26E9B" w14:textId="77777777" w:rsidR="00F12DAD" w:rsidRPr="00F416AB" w:rsidRDefault="00F12DAD" w:rsidP="00DE162F">
            <w:pPr>
              <w:pStyle w:val="bodycopy"/>
              <w:jc w:val="center"/>
              <w:rPr>
                <w:b/>
              </w:rPr>
            </w:pPr>
            <w:r w:rsidRPr="00F416AB">
              <w:rPr>
                <w:b/>
              </w:rPr>
              <w:t>Frequency</w:t>
            </w:r>
          </w:p>
        </w:tc>
        <w:tc>
          <w:tcPr>
            <w:tcW w:w="1350" w:type="dxa"/>
            <w:tcBorders>
              <w:top w:val="single" w:sz="24" w:space="0" w:color="6B94A9"/>
              <w:bottom w:val="single" w:sz="24" w:space="0" w:color="B8C9CF"/>
            </w:tcBorders>
            <w:tcMar>
              <w:top w:w="72" w:type="dxa"/>
              <w:left w:w="0" w:type="dxa"/>
              <w:right w:w="0" w:type="dxa"/>
            </w:tcMar>
            <w:vAlign w:val="center"/>
          </w:tcPr>
          <w:p w14:paraId="2A79E1EA" w14:textId="77777777" w:rsidR="00F12DAD" w:rsidRPr="00F416AB" w:rsidRDefault="00F12DAD" w:rsidP="00DE162F">
            <w:pPr>
              <w:pStyle w:val="bodycopy"/>
              <w:jc w:val="center"/>
              <w:rPr>
                <w:b/>
              </w:rPr>
            </w:pPr>
            <w:r w:rsidRPr="00F416AB">
              <w:rPr>
                <w:b/>
              </w:rPr>
              <w:t>Duration</w:t>
            </w:r>
          </w:p>
        </w:tc>
      </w:tr>
      <w:tr w:rsidR="00F12DAD" w:rsidRPr="00F416AB" w14:paraId="343300D1" w14:textId="77777777" w:rsidTr="0031192B">
        <w:tc>
          <w:tcPr>
            <w:tcW w:w="2070" w:type="dxa"/>
            <w:tcBorders>
              <w:top w:val="single" w:sz="24" w:space="0" w:color="B8C9CF"/>
              <w:bottom w:val="single" w:sz="4" w:space="0" w:color="B8C9CF"/>
            </w:tcBorders>
            <w:tcMar>
              <w:top w:w="72" w:type="dxa"/>
              <w:left w:w="0" w:type="dxa"/>
              <w:right w:w="0" w:type="dxa"/>
            </w:tcMar>
            <w:vAlign w:val="center"/>
          </w:tcPr>
          <w:p w14:paraId="3CBAE175" w14:textId="77777777" w:rsidR="00F12DAD" w:rsidRPr="00F416AB" w:rsidRDefault="00F12DAD" w:rsidP="00DE162F">
            <w:pPr>
              <w:pStyle w:val="bodycopy"/>
              <w:jc w:val="center"/>
            </w:pPr>
            <w:r w:rsidRPr="00F416AB">
              <w:t>Rifampin</w:t>
            </w:r>
          </w:p>
        </w:tc>
        <w:tc>
          <w:tcPr>
            <w:tcW w:w="1350" w:type="dxa"/>
            <w:tcBorders>
              <w:top w:val="single" w:sz="24" w:space="0" w:color="B8C9CF"/>
              <w:bottom w:val="single" w:sz="4" w:space="0" w:color="B8C9CF"/>
            </w:tcBorders>
            <w:tcMar>
              <w:top w:w="72" w:type="dxa"/>
              <w:left w:w="0" w:type="dxa"/>
              <w:right w:w="0" w:type="dxa"/>
            </w:tcMar>
            <w:vAlign w:val="center"/>
          </w:tcPr>
          <w:p w14:paraId="68681C92" w14:textId="77777777" w:rsidR="00F12DAD" w:rsidRPr="00F416AB" w:rsidRDefault="00F12DAD" w:rsidP="00DE162F">
            <w:pPr>
              <w:pStyle w:val="bodycopy"/>
              <w:jc w:val="center"/>
            </w:pPr>
            <w:r w:rsidRPr="00F416AB">
              <w:t>Daily</w:t>
            </w:r>
          </w:p>
        </w:tc>
        <w:tc>
          <w:tcPr>
            <w:tcW w:w="1350" w:type="dxa"/>
            <w:tcBorders>
              <w:top w:val="single" w:sz="24" w:space="0" w:color="B8C9CF"/>
              <w:bottom w:val="single" w:sz="4" w:space="0" w:color="B8C9CF"/>
            </w:tcBorders>
            <w:tcMar>
              <w:top w:w="72" w:type="dxa"/>
              <w:left w:w="0" w:type="dxa"/>
              <w:right w:w="0" w:type="dxa"/>
            </w:tcMar>
            <w:vAlign w:val="center"/>
          </w:tcPr>
          <w:p w14:paraId="7D1CE96C" w14:textId="77777777" w:rsidR="00F12DAD" w:rsidRPr="00F416AB" w:rsidRDefault="00F12DAD" w:rsidP="00DE162F">
            <w:pPr>
              <w:pStyle w:val="bodycopy"/>
              <w:jc w:val="center"/>
            </w:pPr>
            <w:r w:rsidRPr="00F416AB">
              <w:t>4 months</w:t>
            </w:r>
          </w:p>
        </w:tc>
      </w:tr>
      <w:tr w:rsidR="00F12DAD" w:rsidRPr="00F416AB" w14:paraId="7A23843F" w14:textId="77777777" w:rsidTr="0031192B">
        <w:tc>
          <w:tcPr>
            <w:tcW w:w="2070" w:type="dxa"/>
            <w:tcBorders>
              <w:top w:val="single" w:sz="4" w:space="0" w:color="B8C9CF"/>
            </w:tcBorders>
            <w:tcMar>
              <w:top w:w="72" w:type="dxa"/>
              <w:left w:w="0" w:type="dxa"/>
              <w:right w:w="0" w:type="dxa"/>
            </w:tcMar>
            <w:vAlign w:val="center"/>
          </w:tcPr>
          <w:p w14:paraId="23B32CE4" w14:textId="79F10987" w:rsidR="00F12DAD" w:rsidRPr="00F416AB" w:rsidRDefault="00F12DAD" w:rsidP="00DE162F">
            <w:pPr>
              <w:pStyle w:val="bodycopy"/>
              <w:jc w:val="center"/>
            </w:pPr>
            <w:r w:rsidRPr="00F416AB">
              <w:t xml:space="preserve">Isoniazid + </w:t>
            </w:r>
            <w:proofErr w:type="spellStart"/>
            <w:r w:rsidR="0058271F">
              <w:t>R</w:t>
            </w:r>
            <w:r w:rsidRPr="00F416AB">
              <w:t>ifapentine</w:t>
            </w:r>
            <w:proofErr w:type="spellEnd"/>
            <w:r>
              <w:t>*</w:t>
            </w:r>
          </w:p>
        </w:tc>
        <w:tc>
          <w:tcPr>
            <w:tcW w:w="1350" w:type="dxa"/>
            <w:tcBorders>
              <w:top w:val="single" w:sz="4" w:space="0" w:color="B8C9CF"/>
            </w:tcBorders>
            <w:tcMar>
              <w:top w:w="72" w:type="dxa"/>
              <w:left w:w="0" w:type="dxa"/>
              <w:right w:w="0" w:type="dxa"/>
            </w:tcMar>
            <w:vAlign w:val="center"/>
          </w:tcPr>
          <w:p w14:paraId="2BCDEDF0" w14:textId="77777777" w:rsidR="00F12DAD" w:rsidRPr="00F416AB" w:rsidRDefault="00F12DAD" w:rsidP="00DE162F">
            <w:pPr>
              <w:pStyle w:val="bodycopy"/>
              <w:jc w:val="center"/>
            </w:pPr>
            <w:r w:rsidRPr="00F416AB">
              <w:t>Weekly</w:t>
            </w:r>
          </w:p>
        </w:tc>
        <w:tc>
          <w:tcPr>
            <w:tcW w:w="1350" w:type="dxa"/>
            <w:tcBorders>
              <w:top w:val="single" w:sz="4" w:space="0" w:color="B8C9CF"/>
            </w:tcBorders>
            <w:tcMar>
              <w:top w:w="72" w:type="dxa"/>
              <w:left w:w="0" w:type="dxa"/>
              <w:right w:w="0" w:type="dxa"/>
            </w:tcMar>
            <w:vAlign w:val="center"/>
          </w:tcPr>
          <w:p w14:paraId="162DD221" w14:textId="77777777" w:rsidR="00F12DAD" w:rsidRPr="00F416AB" w:rsidRDefault="00F12DAD" w:rsidP="00DE162F">
            <w:pPr>
              <w:pStyle w:val="bodycopy"/>
              <w:jc w:val="center"/>
            </w:pPr>
            <w:r w:rsidRPr="00F416AB">
              <w:t>12 weeks</w:t>
            </w:r>
          </w:p>
        </w:tc>
      </w:tr>
    </w:tbl>
    <w:p w14:paraId="625A51DD" w14:textId="7BBF5CEC" w:rsidR="008F2803" w:rsidRPr="0031192B" w:rsidRDefault="00F12DAD" w:rsidP="00366C53">
      <w:pPr>
        <w:pStyle w:val="bodycopy"/>
        <w:spacing w:before="120" w:after="0"/>
        <w:ind w:left="86" w:hanging="86"/>
        <w:rPr>
          <w:sz w:val="18"/>
          <w:szCs w:val="18"/>
        </w:rPr>
      </w:pPr>
      <w:r w:rsidRPr="0031192B">
        <w:rPr>
          <w:sz w:val="18"/>
          <w:szCs w:val="18"/>
        </w:rPr>
        <w:t>*</w:t>
      </w:r>
      <w:r w:rsidR="00BD2C40" w:rsidRPr="0031192B">
        <w:rPr>
          <w:sz w:val="18"/>
          <w:szCs w:val="18"/>
        </w:rPr>
        <w:t>The CDC</w:t>
      </w:r>
      <w:r w:rsidR="00671D91">
        <w:rPr>
          <w:sz w:val="18"/>
          <w:szCs w:val="18"/>
        </w:rPr>
        <w:t xml:space="preserve"> currently </w:t>
      </w:r>
      <w:r w:rsidR="00BD2C40" w:rsidRPr="0031192B">
        <w:rPr>
          <w:sz w:val="18"/>
          <w:szCs w:val="18"/>
        </w:rPr>
        <w:t xml:space="preserve">recommends DOT for this regimen, however, preliminary data </w:t>
      </w:r>
      <w:r w:rsidR="00BE4DD6" w:rsidRPr="0031192B">
        <w:rPr>
          <w:sz w:val="18"/>
          <w:szCs w:val="18"/>
        </w:rPr>
        <w:t xml:space="preserve">suggests that </w:t>
      </w:r>
      <w:r w:rsidR="00725BE2">
        <w:rPr>
          <w:sz w:val="18"/>
          <w:szCs w:val="18"/>
        </w:rPr>
        <w:t>SAT</w:t>
      </w:r>
      <w:r w:rsidR="00BE4DD6" w:rsidRPr="0031192B">
        <w:rPr>
          <w:sz w:val="18"/>
          <w:szCs w:val="18"/>
        </w:rPr>
        <w:t xml:space="preserve"> is non</w:t>
      </w:r>
      <w:r w:rsidR="00CA3F34">
        <w:rPr>
          <w:sz w:val="18"/>
          <w:szCs w:val="18"/>
        </w:rPr>
        <w:t>-</w:t>
      </w:r>
      <w:r w:rsidR="00BE4DD6" w:rsidRPr="0031192B">
        <w:rPr>
          <w:sz w:val="18"/>
          <w:szCs w:val="18"/>
        </w:rPr>
        <w:t xml:space="preserve">inferior </w:t>
      </w:r>
      <w:r w:rsidR="00BD2C40" w:rsidRPr="0031192B">
        <w:rPr>
          <w:sz w:val="18"/>
          <w:szCs w:val="18"/>
        </w:rPr>
        <w:t xml:space="preserve">to DOT </w:t>
      </w:r>
      <w:r w:rsidR="00BE4DD6" w:rsidRPr="0031192B">
        <w:rPr>
          <w:sz w:val="18"/>
          <w:szCs w:val="18"/>
        </w:rPr>
        <w:t>in the United States</w:t>
      </w:r>
      <w:r w:rsidR="00BD2C40" w:rsidRPr="0031192B">
        <w:rPr>
          <w:sz w:val="18"/>
          <w:szCs w:val="18"/>
        </w:rPr>
        <w:t>. M</w:t>
      </w:r>
      <w:r w:rsidR="00BE4DD6" w:rsidRPr="0031192B">
        <w:rPr>
          <w:sz w:val="18"/>
          <w:szCs w:val="18"/>
        </w:rPr>
        <w:t xml:space="preserve">any clinicians are </w:t>
      </w:r>
      <w:r w:rsidR="00671D91">
        <w:rPr>
          <w:sz w:val="18"/>
          <w:szCs w:val="18"/>
        </w:rPr>
        <w:t>using</w:t>
      </w:r>
      <w:r w:rsidR="00BE4DD6" w:rsidRPr="0031192B">
        <w:rPr>
          <w:sz w:val="18"/>
          <w:szCs w:val="18"/>
        </w:rPr>
        <w:t xml:space="preserve"> SAT or modified DOT</w:t>
      </w:r>
      <w:r w:rsidR="00BD2C40" w:rsidRPr="0031192B">
        <w:rPr>
          <w:sz w:val="18"/>
          <w:szCs w:val="18"/>
        </w:rPr>
        <w:t>.</w:t>
      </w:r>
    </w:p>
    <w:p w14:paraId="1C2BC01D" w14:textId="77777777" w:rsidR="00F12DAD" w:rsidRDefault="00F12DAD" w:rsidP="008F2803">
      <w:pPr>
        <w:pStyle w:val="bodycopy"/>
        <w:spacing w:after="0"/>
      </w:pPr>
    </w:p>
    <w:p w14:paraId="3BE7B7F1" w14:textId="5CB8E18C" w:rsidR="008F2803" w:rsidRPr="008F2803" w:rsidRDefault="008F2803" w:rsidP="008F2803">
      <w:pPr>
        <w:pStyle w:val="bodycopy"/>
        <w:spacing w:after="60"/>
        <w:rPr>
          <w:b/>
        </w:rPr>
      </w:pPr>
      <w:r w:rsidRPr="008F2803">
        <w:rPr>
          <w:b/>
        </w:rPr>
        <w:t xml:space="preserve">CDPH </w:t>
      </w:r>
      <w:r w:rsidR="00F12DAD">
        <w:rPr>
          <w:b/>
        </w:rPr>
        <w:t xml:space="preserve">12-dose isoniazid + </w:t>
      </w:r>
      <w:proofErr w:type="spellStart"/>
      <w:r w:rsidR="00F12DAD">
        <w:rPr>
          <w:b/>
        </w:rPr>
        <w:t>r</w:t>
      </w:r>
      <w:r w:rsidR="00F12DAD" w:rsidRPr="00F12DAD">
        <w:rPr>
          <w:b/>
        </w:rPr>
        <w:t>ifapentine</w:t>
      </w:r>
      <w:proofErr w:type="spellEnd"/>
      <w:r w:rsidR="00F12DAD">
        <w:rPr>
          <w:b/>
        </w:rPr>
        <w:t xml:space="preserve"> regimen </w:t>
      </w:r>
      <w:r w:rsidRPr="008F2803">
        <w:rPr>
          <w:b/>
        </w:rPr>
        <w:t>Fact Sheet:</w:t>
      </w:r>
    </w:p>
    <w:p w14:paraId="189D00D7" w14:textId="43886367" w:rsidR="008F2803" w:rsidRDefault="00536761" w:rsidP="008F2803">
      <w:pPr>
        <w:pStyle w:val="bodycopy"/>
      </w:pPr>
      <w:hyperlink r:id="rId17" w:history="1">
        <w:r w:rsidR="008F2803" w:rsidRPr="00826C4B">
          <w:t>http://cdph.ca.gov/programs/tb/Documents/TBCB-INH-RIF-LTBI-fact-sheet.pdf</w:t>
        </w:r>
      </w:hyperlink>
    </w:p>
    <w:p w14:paraId="693E2468" w14:textId="7477E3F6" w:rsidR="00983089" w:rsidRPr="007400A9" w:rsidRDefault="00587EA1" w:rsidP="00CF2CF5">
      <w:pPr>
        <w:pStyle w:val="NoSpacing"/>
        <w:spacing w:line="360" w:lineRule="auto"/>
        <w:rPr>
          <w:rFonts w:ascii="Arial Narrow" w:hAnsi="Arial Narrow" w:cstheme="minorHAnsi"/>
          <w:b/>
        </w:rPr>
      </w:pPr>
      <w:r>
        <w:rPr>
          <w:noProof/>
        </w:rPr>
        <mc:AlternateContent>
          <mc:Choice Requires="wps">
            <w:drawing>
              <wp:anchor distT="0" distB="0" distL="114300" distR="114300" simplePos="0" relativeHeight="251685888" behindDoc="0" locked="1" layoutInCell="1" allowOverlap="1" wp14:anchorId="367149C8" wp14:editId="33284969">
                <wp:simplePos x="0" y="0"/>
                <wp:positionH relativeFrom="page">
                  <wp:posOffset>685800</wp:posOffset>
                </wp:positionH>
                <wp:positionV relativeFrom="page">
                  <wp:posOffset>9029700</wp:posOffset>
                </wp:positionV>
                <wp:extent cx="6400800"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400800"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925FF3" w14:textId="27F11156" w:rsidR="006D7D3D" w:rsidRPr="002F2BE7" w:rsidRDefault="006D7D3D" w:rsidP="006D7D3D">
                            <w:pPr>
                              <w:rPr>
                                <w:rFonts w:ascii="Arial Narrow" w:hAnsi="Arial Narrow"/>
                              </w:rPr>
                            </w:pPr>
                            <w:r w:rsidRPr="00334C74">
                              <w:rPr>
                                <w:rFonts w:ascii="Arial Narrow" w:hAnsi="Arial Narrow"/>
                                <w:b/>
                                <w:sz w:val="18"/>
                              </w:rPr>
                              <w:t>DOT</w:t>
                            </w:r>
                            <w:r>
                              <w:rPr>
                                <w:rFonts w:ascii="Arial Narrow" w:hAnsi="Arial Narrow"/>
                                <w:b/>
                                <w:sz w:val="18"/>
                              </w:rPr>
                              <w:t xml:space="preserve"> </w:t>
                            </w:r>
                            <w:r w:rsidRPr="002F2BE7">
                              <w:rPr>
                                <w:rFonts w:ascii="Arial Narrow" w:hAnsi="Arial Narrow"/>
                                <w:sz w:val="18"/>
                              </w:rPr>
                              <w:t>=</w:t>
                            </w:r>
                            <w:r>
                              <w:rPr>
                                <w:rFonts w:ascii="Arial Narrow" w:hAnsi="Arial Narrow"/>
                                <w:sz w:val="18"/>
                              </w:rPr>
                              <w:t xml:space="preserve"> </w:t>
                            </w:r>
                            <w:r w:rsidRPr="002F2BE7">
                              <w:rPr>
                                <w:rFonts w:ascii="Arial Narrow" w:hAnsi="Arial Narrow"/>
                                <w:sz w:val="18"/>
                              </w:rPr>
                              <w:t>Directly observed therapy;</w:t>
                            </w:r>
                            <w:r>
                              <w:rPr>
                                <w:rFonts w:ascii="Arial Narrow" w:hAnsi="Arial Narrow"/>
                                <w:sz w:val="18"/>
                              </w:rPr>
                              <w:t xml:space="preserve"> </w:t>
                            </w:r>
                            <w:r>
                              <w:rPr>
                                <w:rFonts w:ascii="Arial Narrow" w:hAnsi="Arial Narrow"/>
                                <w:b/>
                                <w:sz w:val="18"/>
                              </w:rPr>
                              <w:t>SAT</w:t>
                            </w:r>
                            <w:r>
                              <w:rPr>
                                <w:rFonts w:ascii="Arial Narrow" w:hAnsi="Arial Narrow"/>
                                <w:sz w:val="18"/>
                              </w:rPr>
                              <w:t xml:space="preserve"> = Self-administered therapy;</w:t>
                            </w:r>
                            <w:r w:rsidRPr="00334C74">
                              <w:rPr>
                                <w:rFonts w:ascii="Arial Narrow" w:hAnsi="Arial Narrow"/>
                                <w:b/>
                                <w:sz w:val="18"/>
                              </w:rPr>
                              <w:t xml:space="preserve"> IGRA</w:t>
                            </w:r>
                            <w:r>
                              <w:rPr>
                                <w:rFonts w:ascii="Arial Narrow" w:hAnsi="Arial Narrow"/>
                                <w:sz w:val="18"/>
                              </w:rPr>
                              <w:t xml:space="preserve"> </w:t>
                            </w:r>
                            <w:r w:rsidRPr="002F2BE7">
                              <w:rPr>
                                <w:rFonts w:ascii="Arial Narrow" w:hAnsi="Arial Narrow"/>
                                <w:sz w:val="18"/>
                              </w:rPr>
                              <w:t xml:space="preserve">= Interferon gamma release assay (e.g., </w:t>
                            </w:r>
                            <w:proofErr w:type="spellStart"/>
                            <w:r w:rsidRPr="002F2BE7">
                              <w:rPr>
                                <w:rFonts w:ascii="Arial Narrow" w:hAnsi="Arial Narrow"/>
                                <w:sz w:val="18"/>
                              </w:rPr>
                              <w:t>QuantiFERON</w:t>
                            </w:r>
                            <w:proofErr w:type="spellEnd"/>
                            <w:r w:rsidRPr="002F2BE7">
                              <w:rPr>
                                <w:rFonts w:ascii="Arial Narrow" w:hAnsi="Arial Narrow"/>
                                <w:sz w:val="18"/>
                              </w:rPr>
                              <w:t xml:space="preserve">-TB Gold, T-SPOT.TB); </w:t>
                            </w:r>
                            <w:r w:rsidRPr="00334C74">
                              <w:rPr>
                                <w:rFonts w:ascii="Arial Narrow" w:hAnsi="Arial Narrow"/>
                                <w:b/>
                                <w:sz w:val="18"/>
                              </w:rPr>
                              <w:t>BCG</w:t>
                            </w:r>
                            <w:r>
                              <w:rPr>
                                <w:rFonts w:ascii="Arial Narrow" w:hAnsi="Arial Narrow"/>
                                <w:b/>
                                <w:sz w:val="18"/>
                              </w:rPr>
                              <w:t xml:space="preserve"> </w:t>
                            </w:r>
                            <w:r w:rsidRPr="002F2BE7">
                              <w:rPr>
                                <w:rFonts w:ascii="Arial Narrow" w:hAnsi="Arial Narrow"/>
                                <w:sz w:val="18"/>
                              </w:rPr>
                              <w:t>=</w:t>
                            </w:r>
                            <w:r>
                              <w:rPr>
                                <w:rFonts w:ascii="Arial Narrow" w:hAnsi="Arial Narrow"/>
                                <w:sz w:val="18"/>
                              </w:rPr>
                              <w:t xml:space="preserve"> </w:t>
                            </w:r>
                            <w:r w:rsidRPr="002F2BE7">
                              <w:rPr>
                                <w:rFonts w:ascii="Arial Narrow" w:hAnsi="Arial Narrow"/>
                                <w:sz w:val="18"/>
                              </w:rPr>
                              <w:t xml:space="preserve">Bacillus </w:t>
                            </w:r>
                            <w:proofErr w:type="spellStart"/>
                            <w:r w:rsidRPr="002F2BE7">
                              <w:rPr>
                                <w:rFonts w:ascii="Arial Narrow" w:hAnsi="Arial Narrow"/>
                                <w:sz w:val="18"/>
                              </w:rPr>
                              <w:t>Calmette-Guérin</w:t>
                            </w:r>
                            <w:proofErr w:type="spellEnd"/>
                            <w:proofErr w:type="gramStart"/>
                            <w:r w:rsidRPr="002F2BE7">
                              <w:rPr>
                                <w:rFonts w:ascii="Arial Narrow" w:hAnsi="Arial Narrow"/>
                                <w:sz w:val="18"/>
                              </w:rPr>
                              <w:t xml:space="preserve">; </w:t>
                            </w:r>
                            <w:r>
                              <w:rPr>
                                <w:rFonts w:ascii="Arial Narrow" w:hAnsi="Arial Narrow"/>
                                <w:sz w:val="18"/>
                              </w:rPr>
                              <w:t xml:space="preserve"> </w:t>
                            </w:r>
                            <w:r w:rsidRPr="00334C74">
                              <w:rPr>
                                <w:rFonts w:ascii="Arial Narrow" w:hAnsi="Arial Narrow"/>
                                <w:b/>
                                <w:sz w:val="18"/>
                              </w:rPr>
                              <w:t>TST</w:t>
                            </w:r>
                            <w:proofErr w:type="gramEnd"/>
                            <w:r>
                              <w:rPr>
                                <w:rFonts w:ascii="Arial Narrow" w:hAnsi="Arial Narrow"/>
                                <w:b/>
                                <w:sz w:val="18"/>
                              </w:rPr>
                              <w:t xml:space="preserve"> </w:t>
                            </w:r>
                            <w:r w:rsidRPr="002F2BE7">
                              <w:rPr>
                                <w:rFonts w:ascii="Arial Narrow" w:hAnsi="Arial Narrow"/>
                                <w:sz w:val="18"/>
                              </w:rPr>
                              <w:t xml:space="preserve">= </w:t>
                            </w:r>
                            <w:r>
                              <w:rPr>
                                <w:rFonts w:ascii="Arial Narrow" w:hAnsi="Arial Narrow"/>
                                <w:sz w:val="18"/>
                              </w:rPr>
                              <w:t xml:space="preserve"> </w:t>
                            </w:r>
                            <w:r w:rsidRPr="002F2BE7">
                              <w:rPr>
                                <w:rFonts w:ascii="Arial Narrow" w:hAnsi="Arial Narrow"/>
                                <w:sz w:val="18"/>
                              </w:rPr>
                              <w:t xml:space="preserve">tuberculin skin test; </w:t>
                            </w:r>
                            <w:r>
                              <w:rPr>
                                <w:rFonts w:ascii="Arial Narrow" w:hAnsi="Arial Narrow"/>
                                <w:sz w:val="18"/>
                              </w:rPr>
                              <w:t xml:space="preserve"> </w:t>
                            </w:r>
                            <w:r w:rsidRPr="00334C74">
                              <w:rPr>
                                <w:rFonts w:ascii="Arial Narrow" w:hAnsi="Arial Narrow"/>
                                <w:b/>
                                <w:sz w:val="18"/>
                              </w:rPr>
                              <w:t>LTBI</w:t>
                            </w:r>
                            <w:r>
                              <w:rPr>
                                <w:rFonts w:ascii="Arial Narrow" w:hAnsi="Arial Narrow"/>
                                <w:sz w:val="18"/>
                              </w:rPr>
                              <w:t xml:space="preserve"> </w:t>
                            </w:r>
                            <w:r w:rsidRPr="002F2BE7">
                              <w:rPr>
                                <w:rFonts w:ascii="Arial Narrow" w:hAnsi="Arial Narrow"/>
                                <w:sz w:val="18"/>
                              </w:rPr>
                              <w:t>=</w:t>
                            </w:r>
                            <w:r>
                              <w:rPr>
                                <w:rFonts w:ascii="Arial Narrow" w:hAnsi="Arial Narrow"/>
                                <w:sz w:val="18"/>
                              </w:rPr>
                              <w:t xml:space="preserve"> </w:t>
                            </w:r>
                            <w:r w:rsidRPr="002F2BE7">
                              <w:rPr>
                                <w:rFonts w:ascii="Arial Narrow" w:hAnsi="Arial Narrow"/>
                                <w:sz w:val="18"/>
                              </w:rPr>
                              <w:t>latent TB infection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149C8" id="Text Box 17" o:spid="_x0000_s1027" type="#_x0000_t202" style="position:absolute;margin-left:54pt;margin-top:711pt;width:7in;height:3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RDyAIAANMFAAAOAAAAZHJzL2Uyb0RvYy54bWysVN9vmzAQfp+0/8HyOwUyElJUUtEgpklV&#10;W62d+uwYu0ED27OdQDbtf9/ZhLTr9tJpL+Y4f3e+++7HxeXQtWjPtGmkyHF8FmHEBJV1I55y/OWh&#10;CpYYGUtETVopWI4PzODL1ft3F73K2ExuZVszjcCJMFmvcry1VmVhaOiWdcScScUEXHKpO2LhVz+F&#10;tSY9eO/acBZFi7CXulZaUmYMaMvxEq+8f84ZtbecG2ZRm2OIzfpT+3PjznB1QbInTdS2occwyD9E&#10;0ZFGwKMnVyWxBO1084errqFaGsntGZVdKDlvKPM5QDZx9Cqb+y1RzOcC5Bh1osn8P7f0Zn+nUVND&#10;7VKMBOmgRg9ssOhKDghUwE+vTAawewVAO4AesJPegNKlPXDduS8khOAemD6c2HXeKCgXSRQtI7ii&#10;cJfMUyifcxM+Wytt7EcmO+SEHGuonieV7K+NHaETxD0mZNW0ra9gK35TgM9Rw3wLjNYkg0hAdEgX&#10;ky/Pj6ooZovyQxmUy/M0SDZsFiyrKAmuimQer9O0isv059gmz0ZriL5I5+fBopjHQRJHy6AoollQ&#10;VkVUREm1Pk+uvBEEMj0aOh5HvrxkDy1zobTiM+NQAU+bU/jeZ+tWoz2BriWUMmE94z4tQDsUh9Tf&#10;YnjE++Q9KW8xHmmcXpbCnoy7Rkjti/Qq7PrrFDIf8VDpF3k70Q6bYWy9qZ02sj5Al2k5zqlRtGqg&#10;Fa6JsXdEw2BC98Cysbdw8Fb2OZZHCaOt1N//pnd4mBe4xaiHQc+x+bYjmmHUfhIwSW4rTIKehM0k&#10;iF23llCFGNaYol4EA23bSeRado+wgwr3ClwRQeGtHFOrp5+1HRcObDHKisLDYPoVsdfiXlHn3JXF&#10;tfbD8Ei0Ova/hda5kdMSINmrMRixzlLIYmclb/yMOGZHHo+Mw+bwU3bccm41vfz3qOddvPoFAAD/&#10;/wMAUEsDBBQABgAIAAAAIQCCn7Rs3gAAAA4BAAAPAAAAZHJzL2Rvd25yZXYueG1sTE9BTsMwELwj&#10;8Qdrkbig1k5UVSWNU5UiyolDCg9w420SNV5HsdsGXs/mBLeZndHsTL4ZXSeuOITWk4ZkrkAgVd62&#10;VGv4+nybrUCEaMiazhNq+MYAm+L+LjeZ9Tcq8XqIteAQCpnR0MTYZ1KGqkFnwtz3SKyd/OBMZDrU&#10;0g7mxuGuk6lSS+lMS/yhMT3uGqzOh4vTgNvS/3ycw96VL6+7/aklfJLvWj8+jNs1iIhj/DPDVJ+r&#10;Q8Gdjv5CNoiOuVrxlshgkaaMJkuSLBkdp9vzQoEscvl/RvELAAD//wMAUEsBAi0AFAAGAAgAAAAh&#10;ALaDOJL+AAAA4QEAABMAAAAAAAAAAAAAAAAAAAAAAFtDb250ZW50X1R5cGVzXS54bWxQSwECLQAU&#10;AAYACAAAACEAOP0h/9YAAACUAQAACwAAAAAAAAAAAAAAAAAvAQAAX3JlbHMvLnJlbHNQSwECLQAU&#10;AAYACAAAACEAs7yUQ8gCAADTBQAADgAAAAAAAAAAAAAAAAAuAgAAZHJzL2Uyb0RvYy54bWxQSwEC&#10;LQAUAAYACAAAACEAgp+0bN4AAAAOAQAADwAAAAAAAAAAAAAAAAAiBQAAZHJzL2Rvd25yZXYueG1s&#10;UEsFBgAAAAAEAAQA8wAAAC0GAAAAAA==&#10;" filled="f" stroked="f">
                <v:textbox inset="0,0,0,0">
                  <w:txbxContent>
                    <w:p w14:paraId="72925FF3" w14:textId="27F11156" w:rsidR="006D7D3D" w:rsidRPr="002F2BE7" w:rsidRDefault="006D7D3D" w:rsidP="006D7D3D">
                      <w:pPr>
                        <w:rPr>
                          <w:rFonts w:ascii="Arial Narrow" w:hAnsi="Arial Narrow"/>
                        </w:rPr>
                      </w:pPr>
                      <w:r w:rsidRPr="00334C74">
                        <w:rPr>
                          <w:rFonts w:ascii="Arial Narrow" w:hAnsi="Arial Narrow"/>
                          <w:b/>
                          <w:sz w:val="18"/>
                        </w:rPr>
                        <w:t>DOT</w:t>
                      </w:r>
                      <w:r>
                        <w:rPr>
                          <w:rFonts w:ascii="Arial Narrow" w:hAnsi="Arial Narrow"/>
                          <w:b/>
                          <w:sz w:val="18"/>
                        </w:rPr>
                        <w:t xml:space="preserve"> </w:t>
                      </w:r>
                      <w:r w:rsidRPr="002F2BE7">
                        <w:rPr>
                          <w:rFonts w:ascii="Arial Narrow" w:hAnsi="Arial Narrow"/>
                          <w:sz w:val="18"/>
                        </w:rPr>
                        <w:t>=</w:t>
                      </w:r>
                      <w:r>
                        <w:rPr>
                          <w:rFonts w:ascii="Arial Narrow" w:hAnsi="Arial Narrow"/>
                          <w:sz w:val="18"/>
                        </w:rPr>
                        <w:t xml:space="preserve"> </w:t>
                      </w:r>
                      <w:r w:rsidRPr="002F2BE7">
                        <w:rPr>
                          <w:rFonts w:ascii="Arial Narrow" w:hAnsi="Arial Narrow"/>
                          <w:sz w:val="18"/>
                        </w:rPr>
                        <w:t>Directly observed therapy;</w:t>
                      </w:r>
                      <w:r>
                        <w:rPr>
                          <w:rFonts w:ascii="Arial Narrow" w:hAnsi="Arial Narrow"/>
                          <w:sz w:val="18"/>
                        </w:rPr>
                        <w:t xml:space="preserve"> </w:t>
                      </w:r>
                      <w:r>
                        <w:rPr>
                          <w:rFonts w:ascii="Arial Narrow" w:hAnsi="Arial Narrow"/>
                          <w:b/>
                          <w:sz w:val="18"/>
                        </w:rPr>
                        <w:t>SAT</w:t>
                      </w:r>
                      <w:r>
                        <w:rPr>
                          <w:rFonts w:ascii="Arial Narrow" w:hAnsi="Arial Narrow"/>
                          <w:sz w:val="18"/>
                        </w:rPr>
                        <w:t xml:space="preserve"> = Self-administered therapy;</w:t>
                      </w:r>
                      <w:r w:rsidRPr="00334C74">
                        <w:rPr>
                          <w:rFonts w:ascii="Arial Narrow" w:hAnsi="Arial Narrow"/>
                          <w:b/>
                          <w:sz w:val="18"/>
                        </w:rPr>
                        <w:t xml:space="preserve"> IGRA</w:t>
                      </w:r>
                      <w:r>
                        <w:rPr>
                          <w:rFonts w:ascii="Arial Narrow" w:hAnsi="Arial Narrow"/>
                          <w:sz w:val="18"/>
                        </w:rPr>
                        <w:t xml:space="preserve"> </w:t>
                      </w:r>
                      <w:r w:rsidRPr="002F2BE7">
                        <w:rPr>
                          <w:rFonts w:ascii="Arial Narrow" w:hAnsi="Arial Narrow"/>
                          <w:sz w:val="18"/>
                        </w:rPr>
                        <w:t xml:space="preserve">= Interferon gamma release assay (e.g., </w:t>
                      </w:r>
                      <w:proofErr w:type="spellStart"/>
                      <w:r w:rsidRPr="002F2BE7">
                        <w:rPr>
                          <w:rFonts w:ascii="Arial Narrow" w:hAnsi="Arial Narrow"/>
                          <w:sz w:val="18"/>
                        </w:rPr>
                        <w:t>QuantiFERON</w:t>
                      </w:r>
                      <w:proofErr w:type="spellEnd"/>
                      <w:r w:rsidRPr="002F2BE7">
                        <w:rPr>
                          <w:rFonts w:ascii="Arial Narrow" w:hAnsi="Arial Narrow"/>
                          <w:sz w:val="18"/>
                        </w:rPr>
                        <w:t xml:space="preserve">-TB Gold, T-SPOT.TB); </w:t>
                      </w:r>
                      <w:r w:rsidRPr="00334C74">
                        <w:rPr>
                          <w:rFonts w:ascii="Arial Narrow" w:hAnsi="Arial Narrow"/>
                          <w:b/>
                          <w:sz w:val="18"/>
                        </w:rPr>
                        <w:t>BCG</w:t>
                      </w:r>
                      <w:r>
                        <w:rPr>
                          <w:rFonts w:ascii="Arial Narrow" w:hAnsi="Arial Narrow"/>
                          <w:b/>
                          <w:sz w:val="18"/>
                        </w:rPr>
                        <w:t xml:space="preserve"> </w:t>
                      </w:r>
                      <w:r w:rsidRPr="002F2BE7">
                        <w:rPr>
                          <w:rFonts w:ascii="Arial Narrow" w:hAnsi="Arial Narrow"/>
                          <w:sz w:val="18"/>
                        </w:rPr>
                        <w:t>=</w:t>
                      </w:r>
                      <w:r>
                        <w:rPr>
                          <w:rFonts w:ascii="Arial Narrow" w:hAnsi="Arial Narrow"/>
                          <w:sz w:val="18"/>
                        </w:rPr>
                        <w:t xml:space="preserve"> </w:t>
                      </w:r>
                      <w:r w:rsidRPr="002F2BE7">
                        <w:rPr>
                          <w:rFonts w:ascii="Arial Narrow" w:hAnsi="Arial Narrow"/>
                          <w:sz w:val="18"/>
                        </w:rPr>
                        <w:t xml:space="preserve">Bacillus </w:t>
                      </w:r>
                      <w:proofErr w:type="spellStart"/>
                      <w:r w:rsidRPr="002F2BE7">
                        <w:rPr>
                          <w:rFonts w:ascii="Arial Narrow" w:hAnsi="Arial Narrow"/>
                          <w:sz w:val="18"/>
                        </w:rPr>
                        <w:t>Calmette-Guérin</w:t>
                      </w:r>
                      <w:proofErr w:type="spellEnd"/>
                      <w:proofErr w:type="gramStart"/>
                      <w:r w:rsidRPr="002F2BE7">
                        <w:rPr>
                          <w:rFonts w:ascii="Arial Narrow" w:hAnsi="Arial Narrow"/>
                          <w:sz w:val="18"/>
                        </w:rPr>
                        <w:t xml:space="preserve">; </w:t>
                      </w:r>
                      <w:r>
                        <w:rPr>
                          <w:rFonts w:ascii="Arial Narrow" w:hAnsi="Arial Narrow"/>
                          <w:sz w:val="18"/>
                        </w:rPr>
                        <w:t xml:space="preserve"> </w:t>
                      </w:r>
                      <w:r w:rsidRPr="00334C74">
                        <w:rPr>
                          <w:rFonts w:ascii="Arial Narrow" w:hAnsi="Arial Narrow"/>
                          <w:b/>
                          <w:sz w:val="18"/>
                        </w:rPr>
                        <w:t>TST</w:t>
                      </w:r>
                      <w:proofErr w:type="gramEnd"/>
                      <w:r>
                        <w:rPr>
                          <w:rFonts w:ascii="Arial Narrow" w:hAnsi="Arial Narrow"/>
                          <w:b/>
                          <w:sz w:val="18"/>
                        </w:rPr>
                        <w:t xml:space="preserve"> </w:t>
                      </w:r>
                      <w:r w:rsidRPr="002F2BE7">
                        <w:rPr>
                          <w:rFonts w:ascii="Arial Narrow" w:hAnsi="Arial Narrow"/>
                          <w:sz w:val="18"/>
                        </w:rPr>
                        <w:t xml:space="preserve">= </w:t>
                      </w:r>
                      <w:r>
                        <w:rPr>
                          <w:rFonts w:ascii="Arial Narrow" w:hAnsi="Arial Narrow"/>
                          <w:sz w:val="18"/>
                        </w:rPr>
                        <w:t xml:space="preserve"> </w:t>
                      </w:r>
                      <w:r w:rsidRPr="002F2BE7">
                        <w:rPr>
                          <w:rFonts w:ascii="Arial Narrow" w:hAnsi="Arial Narrow"/>
                          <w:sz w:val="18"/>
                        </w:rPr>
                        <w:t xml:space="preserve">tuberculin skin test; </w:t>
                      </w:r>
                      <w:r>
                        <w:rPr>
                          <w:rFonts w:ascii="Arial Narrow" w:hAnsi="Arial Narrow"/>
                          <w:sz w:val="18"/>
                        </w:rPr>
                        <w:t xml:space="preserve"> </w:t>
                      </w:r>
                      <w:r w:rsidRPr="00334C74">
                        <w:rPr>
                          <w:rFonts w:ascii="Arial Narrow" w:hAnsi="Arial Narrow"/>
                          <w:b/>
                          <w:sz w:val="18"/>
                        </w:rPr>
                        <w:t>LTBI</w:t>
                      </w:r>
                      <w:r>
                        <w:rPr>
                          <w:rFonts w:ascii="Arial Narrow" w:hAnsi="Arial Narrow"/>
                          <w:sz w:val="18"/>
                        </w:rPr>
                        <w:t xml:space="preserve"> </w:t>
                      </w:r>
                      <w:r w:rsidRPr="002F2BE7">
                        <w:rPr>
                          <w:rFonts w:ascii="Arial Narrow" w:hAnsi="Arial Narrow"/>
                          <w:sz w:val="18"/>
                        </w:rPr>
                        <w:t>=</w:t>
                      </w:r>
                      <w:r>
                        <w:rPr>
                          <w:rFonts w:ascii="Arial Narrow" w:hAnsi="Arial Narrow"/>
                          <w:sz w:val="18"/>
                        </w:rPr>
                        <w:t xml:space="preserve"> </w:t>
                      </w:r>
                      <w:r w:rsidRPr="002F2BE7">
                        <w:rPr>
                          <w:rFonts w:ascii="Arial Narrow" w:hAnsi="Arial Narrow"/>
                          <w:sz w:val="18"/>
                        </w:rPr>
                        <w:t>latent TB infection</w:t>
                      </w:r>
                    </w:p>
                  </w:txbxContent>
                </v:textbox>
                <w10:wrap anchorx="page" anchory="page"/>
                <w10:anchorlock/>
              </v:shape>
            </w:pict>
          </mc:Fallback>
        </mc:AlternateContent>
      </w:r>
      <w:r w:rsidR="00E50DD4">
        <w:rPr>
          <w:noProof/>
        </w:rPr>
        <mc:AlternateContent>
          <mc:Choice Requires="wps">
            <w:drawing>
              <wp:anchor distT="0" distB="0" distL="114300" distR="114300" simplePos="0" relativeHeight="251679744" behindDoc="0" locked="1" layoutInCell="1" allowOverlap="1" wp14:anchorId="6BFC8685" wp14:editId="38991D9D">
                <wp:simplePos x="0" y="0"/>
                <wp:positionH relativeFrom="page">
                  <wp:posOffset>3886200</wp:posOffset>
                </wp:positionH>
                <wp:positionV relativeFrom="page">
                  <wp:posOffset>1444625</wp:posOffset>
                </wp:positionV>
                <wp:extent cx="0" cy="7356475"/>
                <wp:effectExtent l="0" t="0" r="25400" b="34925"/>
                <wp:wrapNone/>
                <wp:docPr id="19" name="Straight Connector 19"/>
                <wp:cNvGraphicFramePr/>
                <a:graphic xmlns:a="http://schemas.openxmlformats.org/drawingml/2006/main">
                  <a:graphicData uri="http://schemas.microsoft.com/office/word/2010/wordprocessingShape">
                    <wps:wsp>
                      <wps:cNvCnPr/>
                      <wps:spPr>
                        <a:xfrm>
                          <a:off x="0" y="0"/>
                          <a:ext cx="0" cy="7356475"/>
                        </a:xfrm>
                        <a:prstGeom prst="line">
                          <a:avLst/>
                        </a:prstGeom>
                        <a:ln w="6350">
                          <a:solidFill>
                            <a:srgbClr val="C4DA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8EC1E"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06pt,113.75pt" to="30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Ip4wEAAB0EAAAOAAAAZHJzL2Uyb0RvYy54bWysU9uO0zAQfUfiHyy/06TdbXeJmq5Qy/KC&#10;oGLhA1zHTiz5prFp2r9n7KRpBQgkxItjz8yZM2dmsn46GU2OAoJytqbzWUmJsNw1yrY1/fb1+c0j&#10;JSEy2zDtrKjpWQT6tHn9at37Sixc53QjgGASG6re17SL0VdFEXgnDAsz54VFp3RgWMQntEUDrMfs&#10;RheLslwVvYPGg+MiBLTuBifd5PxSCh4/SxlEJLqmWFvMJ+TzkM5is2ZVC8x3io9lsH+owjBlkXRK&#10;tWORke+gfkllFAcXnIwz7kzhpFRcZA2oZl7+pOalY15kLdic4Kc2hf+Xln867oGoBmf3lhLLDM7o&#10;JQJTbRfJ1lmLHXRA0Imd6n2oELC1exhfwe8hyT5JMOmLgsgpd/c8dVecIuGDkaP14W65un9YpnzF&#10;FeghxA/CGZIuNdXKJuGsYsePIQ6hl5Bk1pb0NV3dLcscFZxWzbPSOvkCtIetBnJkOPPt/e7d+8eR&#10;7CYMqbVN0SIvyUiSBA6S8i2etRjYvgiJTUIRi4EvraeYSBjnwsb5yKItRieYxIIm4Fjon4Bj/LWq&#10;CTz/O+ug48LsbJzARlkHv0sQT5eS5RCPE7nRna4H15zzsLMDdzAPbfxf0pLfvjP8+ldvfgAAAP//&#10;AwBQSwMEFAAGAAgAAAAhALxzRi3gAAAADAEAAA8AAABkcnMvZG93bnJldi54bWxMj01PwzAMhu9I&#10;/IfISFwQS9dppSpNJzS0I4d9SOOYNqap1jhVk23l32PEgR1tP3r9vOVqcr244Bg6TwrmswQEUuNN&#10;R62Cw37znIMIUZPRvSdU8I0BVtX9XakL46+0xcsutoJDKBRagY1xKKQMjUWnw8wPSHz78qPTkcex&#10;lWbUVw53vUyTJJNOd8QfrB5wbbE57c5OwdOix2b5uXHvx+lY708f20O+tko9PkxvryAiTvEfhl99&#10;VoeKnWp/JhNEryCbp9wlKkjTlyUIJv42NaOLPEtAVqW8LVH9AAAA//8DAFBLAQItABQABgAIAAAA&#10;IQC2gziS/gAAAOEBAAATAAAAAAAAAAAAAAAAAAAAAABbQ29udGVudF9UeXBlc10ueG1sUEsBAi0A&#10;FAAGAAgAAAAhADj9If/WAAAAlAEAAAsAAAAAAAAAAAAAAAAALwEAAF9yZWxzLy5yZWxzUEsBAi0A&#10;FAAGAAgAAAAhAKHoMinjAQAAHQQAAA4AAAAAAAAAAAAAAAAALgIAAGRycy9lMm9Eb2MueG1sUEsB&#10;Ai0AFAAGAAgAAAAhALxzRi3gAAAADAEAAA8AAAAAAAAAAAAAAAAAPQQAAGRycy9kb3ducmV2Lnht&#10;bFBLBQYAAAAABAAEAPMAAABKBQAAAAA=&#10;" strokecolor="#c4dae8" strokeweight=".5pt">
                <w10:wrap anchorx="page" anchory="page"/>
                <w10:anchorlock/>
              </v:line>
            </w:pict>
          </mc:Fallback>
        </mc:AlternateContent>
      </w:r>
      <w:r>
        <w:rPr>
          <w:rFonts w:ascii="Arial Narrow" w:hAnsi="Arial Narrow" w:cstheme="minorHAnsi"/>
          <w:b/>
          <w:noProof/>
        </w:rPr>
        <mc:AlternateContent>
          <mc:Choice Requires="wps">
            <w:drawing>
              <wp:anchor distT="0" distB="0" distL="114300" distR="114300" simplePos="0" relativeHeight="251683840" behindDoc="0" locked="0" layoutInCell="1" allowOverlap="1" wp14:anchorId="2DAEB2F3" wp14:editId="5D2B48BB">
                <wp:simplePos x="0" y="0"/>
                <wp:positionH relativeFrom="page">
                  <wp:posOffset>685800</wp:posOffset>
                </wp:positionH>
                <wp:positionV relativeFrom="page">
                  <wp:posOffset>9509760</wp:posOffset>
                </wp:positionV>
                <wp:extent cx="6400800" cy="3200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6400800" cy="3200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E6BCB5" w14:textId="77777777" w:rsidR="006D7D3D" w:rsidRPr="00541183" w:rsidRDefault="006D7D3D" w:rsidP="00587EA1">
                            <w:pPr>
                              <w:pBdr>
                                <w:top w:val="single" w:sz="8" w:space="6" w:color="9EB2B5"/>
                              </w:pBdr>
                              <w:spacing w:after="0" w:line="240" w:lineRule="auto"/>
                              <w:jc w:val="center"/>
                              <w:rPr>
                                <w:rFonts w:ascii="Arial Narrow Bold" w:hAnsi="Arial Narrow Bold"/>
                                <w:color w:val="4F6771"/>
                                <w:sz w:val="20"/>
                                <w:szCs w:val="20"/>
                              </w:rPr>
                            </w:pPr>
                            <w:r w:rsidRPr="00541183">
                              <w:rPr>
                                <w:rFonts w:ascii="Arial Narrow Bold" w:hAnsi="Arial Narrow Bold" w:cs="Helvetica"/>
                                <w:color w:val="4F6771"/>
                                <w:sz w:val="20"/>
                                <w:szCs w:val="20"/>
                              </w:rPr>
                              <w:t>Adapted for local use from the California Tuberculosis Risk Assessment available on the PROVIDERS page at www.ctca.org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EB2F3" id="Text Box 1" o:spid="_x0000_s1028" type="#_x0000_t202" style="position:absolute;margin-left:54pt;margin-top:748.8pt;width:7in;height:25.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47cxwIAAM8FAAAOAAAAZHJzL2Uyb0RvYy54bWysVEtvnDAQvlfqf7B8J8CGfQSFjcgiqkpR&#10;EzWpcvYaO4sKtmt7F7ZV/3vHBjZp2kuqXsww/mY8883j8qpvG3Rg2tRSZDg+izBigsqqFk8Z/vJQ&#10;BiuMjCWiIo0ULMNHZvDV+v27y06lbCZ3sqmYRuBEmLRTGd5Zq9IwNHTHWmLOpGICLrnULbHwq5/C&#10;SpMOvLdNOIuiRdhJXSktKTMGtMVwidfeP+eM2lvODbOoyTDEZv2p/bl1Z7i+JOmTJmpX0zEM8g9R&#10;tKQW8OjJVUEsQXtd/+GqramWRnJ7RmUbSs5rynwOkE0cvcrmfkcU87kAOUadaDL/zy39dLjTqK6g&#10;dhgJ0kKJHlhv0bXsUezY6ZRJAXSvAGZ7UDvkqDegdEn3XLfuC+kguAeejydunTMKykUSRasIrijc&#10;nUPpEk9++GyttLEfmGyREzKsoXaeUnK4MRZeBOgEcY8JWdZN4+vXiN8UABw0zDfAYE1SiAREh3Qx&#10;+eL8KPN8tijOi6BYXSyDZMtmwaqMkuA6T+bxZrks42L5c2iSZ6PNfDnLl/OLYJHP4yCJo1WQ59Es&#10;KMo8yqOk3Fwk194IApkeDR2PA19esseGuVAa8Zlx4N/T5hS+89mm0ehAoGcJpUxYz7hPC9AOxSH1&#10;txiOeJ+8J+UtxgON08tS2JNxWwupfZFehV19nULmAx7K9yJvJ9p+2/vGm03ttJXVEbpMy2FKjaJl&#10;Da1wQ4y9IxrGEroHVo29hYM3ssuwHCWMdlJ//5ve4WFa4BajDsY8w+bbnmiGUfNRwBy5nTAJehK2&#10;kyD27UZCFWA2IBovgoG2zSRyLdtH2EC5ewWuiKDwVobtJG7ssGxgg1GW5x4Ek6+IvRH3ijrXriiu&#10;sR/6R6LV2P0WGueTnBYASV8NwYB1lkLmeyt57SfE8TqwOPINW8MPzrjh3Fp6+e9Rz3t4/QsAAP//&#10;AwBQSwMEFAAGAAgAAAAhAMEf6v7fAAAADgEAAA8AAABkcnMvZG93bnJldi54bWxMT0FOwzAQvCPx&#10;B2uRuFEnqIQ2xKkqBCckRBoOHJ14m1iN1yF22/B7tie4zeyMZmeKzewGccIpWE8K0kUCAqn1xlKn&#10;4LN+vVuBCFGT0YMnVPCDATbl9VWhc+PPVOFpFzvBIRRyraCPccylDG2PToeFH5FY2/vJ6ch06qSZ&#10;9JnD3SDvkySTTlviD70e8bnH9rA7OgXbL6pe7Pd781HtK1vX64TesoNStzfz9glExDn+meFSn6tD&#10;yZ0afyQTxMA8WfGWyGC5fsxAXCxpmvGtYfSwZFWWhfw/o/wFAAD//wMAUEsBAi0AFAAGAAgAAAAh&#10;ALaDOJL+AAAA4QEAABMAAAAAAAAAAAAAAAAAAAAAAFtDb250ZW50X1R5cGVzXS54bWxQSwECLQAU&#10;AAYACAAAACEAOP0h/9YAAACUAQAACwAAAAAAAAAAAAAAAAAvAQAAX3JlbHMvLnJlbHNQSwECLQAU&#10;AAYACAAAACEAdo+O3McCAADPBQAADgAAAAAAAAAAAAAAAAAuAgAAZHJzL2Uyb0RvYy54bWxQSwEC&#10;LQAUAAYACAAAACEAwR/q/t8AAAAOAQAADwAAAAAAAAAAAAAAAAAhBQAAZHJzL2Rvd25yZXYueG1s&#10;UEsFBgAAAAAEAAQA8wAAAC0GAAAAAA==&#10;" filled="f" stroked="f">
                <v:textbox inset="0,0,0,0">
                  <w:txbxContent>
                    <w:p w14:paraId="0AE6BCB5" w14:textId="77777777" w:rsidR="006D7D3D" w:rsidRPr="00541183" w:rsidRDefault="006D7D3D" w:rsidP="00587EA1">
                      <w:pPr>
                        <w:pBdr>
                          <w:top w:val="single" w:sz="8" w:space="6" w:color="9EB2B5"/>
                        </w:pBdr>
                        <w:spacing w:after="0" w:line="240" w:lineRule="auto"/>
                        <w:jc w:val="center"/>
                        <w:rPr>
                          <w:rFonts w:ascii="Arial Narrow Bold" w:hAnsi="Arial Narrow Bold"/>
                          <w:color w:val="4F6771"/>
                          <w:sz w:val="20"/>
                          <w:szCs w:val="20"/>
                        </w:rPr>
                      </w:pPr>
                      <w:r w:rsidRPr="00541183">
                        <w:rPr>
                          <w:rFonts w:ascii="Arial Narrow Bold" w:hAnsi="Arial Narrow Bold" w:cs="Helvetica"/>
                          <w:color w:val="4F6771"/>
                          <w:sz w:val="20"/>
                          <w:szCs w:val="20"/>
                        </w:rPr>
                        <w:t>Adapted for local use from the California Tuberculosis Risk Assessment available on the PROVIDERS page at www.ctca.org</w:t>
                      </w:r>
                    </w:p>
                  </w:txbxContent>
                </v:textbox>
                <w10:wrap anchorx="page" anchory="page"/>
              </v:shape>
            </w:pict>
          </mc:Fallback>
        </mc:AlternateContent>
      </w:r>
    </w:p>
    <w:sectPr w:rsidR="00983089" w:rsidRPr="007400A9" w:rsidSect="00160345">
      <w:type w:val="continuous"/>
      <w:pgSz w:w="12240" w:h="15840"/>
      <w:pgMar w:top="720" w:right="1080" w:bottom="720" w:left="1080" w:header="0" w:footer="288" w:gutter="0"/>
      <w:cols w:num="2" w:space="54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7F715" w14:textId="77777777" w:rsidR="0031646C" w:rsidRDefault="0031646C" w:rsidP="00744C70">
      <w:pPr>
        <w:spacing w:after="0" w:line="240" w:lineRule="auto"/>
      </w:pPr>
      <w:r>
        <w:separator/>
      </w:r>
    </w:p>
  </w:endnote>
  <w:endnote w:type="continuationSeparator" w:id="0">
    <w:p w14:paraId="614C678A" w14:textId="77777777" w:rsidR="0031646C" w:rsidRDefault="0031646C" w:rsidP="0074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 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8F0E" w14:textId="77777777" w:rsidR="0054082E" w:rsidRDefault="00540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A95F4" w14:textId="77777777" w:rsidR="006D7D3D" w:rsidRPr="001F6F72" w:rsidRDefault="006D7D3D" w:rsidP="00C31B08">
    <w:pPr>
      <w:pStyle w:val="Footer"/>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D854" w14:textId="77777777" w:rsidR="0054082E" w:rsidRDefault="00540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9F7FB" w14:textId="77777777" w:rsidR="0031646C" w:rsidRDefault="0031646C" w:rsidP="00744C70">
      <w:pPr>
        <w:spacing w:after="0" w:line="240" w:lineRule="auto"/>
      </w:pPr>
      <w:r>
        <w:separator/>
      </w:r>
    </w:p>
  </w:footnote>
  <w:footnote w:type="continuationSeparator" w:id="0">
    <w:p w14:paraId="4F9B5814" w14:textId="77777777" w:rsidR="0031646C" w:rsidRDefault="0031646C" w:rsidP="00744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F894E" w14:textId="77777777" w:rsidR="0054082E" w:rsidRDefault="00540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679571"/>
      <w:docPartObj>
        <w:docPartGallery w:val="Watermarks"/>
        <w:docPartUnique/>
      </w:docPartObj>
    </w:sdtPr>
    <w:sdtEndPr/>
    <w:sdtContent>
      <w:p w14:paraId="20886D7F" w14:textId="0001D129" w:rsidR="0054082E" w:rsidRDefault="00536761">
        <w:pPr>
          <w:pStyle w:val="Header"/>
        </w:pPr>
        <w:r>
          <w:rPr>
            <w:noProof/>
          </w:rPr>
          <w:pict w14:anchorId="2B5DD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C223E" w14:textId="77777777" w:rsidR="0054082E" w:rsidRDefault="00540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42B9"/>
    <w:multiLevelType w:val="hybridMultilevel"/>
    <w:tmpl w:val="D090B384"/>
    <w:lvl w:ilvl="0" w:tplc="BE8451FE">
      <w:start w:val="1"/>
      <w:numFmt w:val="bullet"/>
      <w:lvlText w:val=""/>
      <w:lvlJc w:val="left"/>
      <w:pPr>
        <w:ind w:left="720" w:hanging="360"/>
      </w:pPr>
      <w:rPr>
        <w:rFonts w:ascii="Symbol" w:hAnsi="Symbol" w:hint="default"/>
        <w:color w:val="9ABBB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5DEF"/>
    <w:multiLevelType w:val="hybridMultilevel"/>
    <w:tmpl w:val="BA665E58"/>
    <w:lvl w:ilvl="0" w:tplc="5746A818">
      <w:start w:val="1"/>
      <w:numFmt w:val="bullet"/>
      <w:lvlText w:val=""/>
      <w:lvlJc w:val="left"/>
      <w:pPr>
        <w:ind w:left="720" w:hanging="360"/>
      </w:pPr>
      <w:rPr>
        <w:rFonts w:ascii="Symbol" w:hAnsi="Symbol" w:hint="default"/>
      </w:rPr>
    </w:lvl>
    <w:lvl w:ilvl="1" w:tplc="5746A81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921BF"/>
    <w:multiLevelType w:val="hybridMultilevel"/>
    <w:tmpl w:val="9DFA1B00"/>
    <w:lvl w:ilvl="0" w:tplc="5746A8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4FE9"/>
    <w:multiLevelType w:val="hybridMultilevel"/>
    <w:tmpl w:val="47B66F36"/>
    <w:lvl w:ilvl="0" w:tplc="FDE4C842">
      <w:start w:val="1"/>
      <w:numFmt w:val="bullet"/>
      <w:lvlText w:val=""/>
      <w:lvlJc w:val="left"/>
      <w:pPr>
        <w:ind w:left="720" w:hanging="360"/>
      </w:pPr>
      <w:rPr>
        <w:rFonts w:ascii="Symbol" w:hAnsi="Symbol" w:hint="default"/>
        <w:color w:val="6493A6"/>
        <w:sz w:val="24"/>
        <w:szCs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856A2"/>
    <w:multiLevelType w:val="hybridMultilevel"/>
    <w:tmpl w:val="1618E8BE"/>
    <w:lvl w:ilvl="0" w:tplc="53EE6CA8">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E1FE0"/>
    <w:multiLevelType w:val="hybridMultilevel"/>
    <w:tmpl w:val="29809F2A"/>
    <w:lvl w:ilvl="0" w:tplc="B4825A16">
      <w:start w:val="1"/>
      <w:numFmt w:val="bullet"/>
      <w:lvlText w:val="_"/>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25B38"/>
    <w:multiLevelType w:val="hybridMultilevel"/>
    <w:tmpl w:val="23E6A038"/>
    <w:lvl w:ilvl="0" w:tplc="7E10AE04">
      <w:start w:val="1"/>
      <w:numFmt w:val="bullet"/>
      <w:lvlText w:val="_"/>
      <w:lvlJc w:val="left"/>
      <w:pPr>
        <w:ind w:left="63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82DE9"/>
    <w:multiLevelType w:val="hybridMultilevel"/>
    <w:tmpl w:val="A35452AA"/>
    <w:lvl w:ilvl="0" w:tplc="5746A8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5A497F"/>
    <w:multiLevelType w:val="hybridMultilevel"/>
    <w:tmpl w:val="989E93F0"/>
    <w:lvl w:ilvl="0" w:tplc="B4825A16">
      <w:start w:val="1"/>
      <w:numFmt w:val="bullet"/>
      <w:lvlText w:val="_"/>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F5542"/>
    <w:multiLevelType w:val="hybridMultilevel"/>
    <w:tmpl w:val="4A16BB3E"/>
    <w:lvl w:ilvl="0" w:tplc="E70AE984">
      <w:start w:val="1"/>
      <w:numFmt w:val="bullet"/>
      <w:lvlText w:val=""/>
      <w:lvlJc w:val="left"/>
      <w:pPr>
        <w:ind w:left="720" w:hanging="360"/>
      </w:pPr>
      <w:rPr>
        <w:rFonts w:ascii="Zapf Dingbats" w:hAnsi="Zapf Dingbats" w:hint="default"/>
        <w:sz w:val="16"/>
        <w:szCs w:val="16"/>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C64E5"/>
    <w:multiLevelType w:val="multilevel"/>
    <w:tmpl w:val="D090B384"/>
    <w:lvl w:ilvl="0">
      <w:start w:val="1"/>
      <w:numFmt w:val="bullet"/>
      <w:lvlText w:val=""/>
      <w:lvlJc w:val="left"/>
      <w:pPr>
        <w:ind w:left="720" w:hanging="360"/>
      </w:pPr>
      <w:rPr>
        <w:rFonts w:ascii="Symbol" w:hAnsi="Symbol" w:hint="default"/>
        <w:color w:val="9ABBBE"/>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3540D0"/>
    <w:multiLevelType w:val="multilevel"/>
    <w:tmpl w:val="ECB43682"/>
    <w:lvl w:ilvl="0">
      <w:start w:val="1"/>
      <w:numFmt w:val="bullet"/>
      <w:lvlText w:val=""/>
      <w:lvlJc w:val="left"/>
      <w:pPr>
        <w:ind w:left="720" w:hanging="360"/>
      </w:pPr>
      <w:rPr>
        <w:rFonts w:ascii="Zapf Dingbats" w:hAnsi="Zapf Dingbats" w:hint="default"/>
        <w:sz w:val="16"/>
        <w:szCs w:val="16"/>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FB5BDC"/>
    <w:multiLevelType w:val="multilevel"/>
    <w:tmpl w:val="4A16BB3E"/>
    <w:lvl w:ilvl="0">
      <w:start w:val="1"/>
      <w:numFmt w:val="bullet"/>
      <w:lvlText w:val=""/>
      <w:lvlJc w:val="left"/>
      <w:pPr>
        <w:ind w:left="720" w:hanging="360"/>
      </w:pPr>
      <w:rPr>
        <w:rFonts w:ascii="Zapf Dingbats" w:hAnsi="Zapf Dingbats" w:hint="default"/>
        <w:sz w:val="16"/>
        <w:szCs w:val="16"/>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7C0C85"/>
    <w:multiLevelType w:val="hybridMultilevel"/>
    <w:tmpl w:val="58DC80A6"/>
    <w:lvl w:ilvl="0" w:tplc="EDF20D9A">
      <w:start w:val="1"/>
      <w:numFmt w:val="bullet"/>
      <w:lvlText w:val=""/>
      <w:lvlJc w:val="left"/>
      <w:pPr>
        <w:ind w:left="360" w:hanging="360"/>
      </w:pPr>
      <w:rPr>
        <w:rFonts w:ascii="Symbol" w:hAnsi="Symbol" w:hint="default"/>
        <w:b w:val="0"/>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256ACC"/>
    <w:multiLevelType w:val="hybridMultilevel"/>
    <w:tmpl w:val="B4AE1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5B36FB"/>
    <w:multiLevelType w:val="hybridMultilevel"/>
    <w:tmpl w:val="ECB43682"/>
    <w:lvl w:ilvl="0" w:tplc="C5DE4E3A">
      <w:start w:val="1"/>
      <w:numFmt w:val="bullet"/>
      <w:lvlText w:val=""/>
      <w:lvlJc w:val="left"/>
      <w:pPr>
        <w:ind w:left="720" w:hanging="360"/>
      </w:pPr>
      <w:rPr>
        <w:rFonts w:ascii="Zapf Dingbats" w:hAnsi="Zapf Dingbats" w:hint="default"/>
        <w:sz w:val="16"/>
        <w:szCs w:val="16"/>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45FD3"/>
    <w:multiLevelType w:val="hybridMultilevel"/>
    <w:tmpl w:val="E48C5FF0"/>
    <w:lvl w:ilvl="0" w:tplc="B4825A16">
      <w:start w:val="1"/>
      <w:numFmt w:val="bullet"/>
      <w:lvlText w:val="_"/>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465E2"/>
    <w:multiLevelType w:val="multilevel"/>
    <w:tmpl w:val="23E6A038"/>
    <w:lvl w:ilvl="0">
      <w:start w:val="1"/>
      <w:numFmt w:val="bullet"/>
      <w:lvlText w:val="_"/>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7CF43B3"/>
    <w:multiLevelType w:val="hybridMultilevel"/>
    <w:tmpl w:val="51E8A8BA"/>
    <w:lvl w:ilvl="0" w:tplc="04090001">
      <w:start w:val="1"/>
      <w:numFmt w:val="bullet"/>
      <w:lvlText w:val=""/>
      <w:lvlJc w:val="left"/>
      <w:pPr>
        <w:ind w:left="360" w:hanging="360"/>
      </w:pPr>
      <w:rPr>
        <w:rFonts w:ascii="Symbol" w:hAnsi="Symbol" w:hint="default"/>
        <w:sz w:val="24"/>
      </w:rPr>
    </w:lvl>
    <w:lvl w:ilvl="1" w:tplc="5746A81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6C3DB9"/>
    <w:multiLevelType w:val="hybridMultilevel"/>
    <w:tmpl w:val="382A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802054"/>
    <w:multiLevelType w:val="hybridMultilevel"/>
    <w:tmpl w:val="D654CE2C"/>
    <w:lvl w:ilvl="0" w:tplc="5746A818">
      <w:start w:val="1"/>
      <w:numFmt w:val="bullet"/>
      <w:lvlText w:val=""/>
      <w:lvlJc w:val="left"/>
      <w:pPr>
        <w:ind w:left="1440" w:hanging="360"/>
      </w:pPr>
      <w:rPr>
        <w:rFonts w:ascii="Symbol" w:hAnsi="Symbol" w:hint="default"/>
      </w:rPr>
    </w:lvl>
    <w:lvl w:ilvl="1" w:tplc="5746A81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70C11"/>
    <w:multiLevelType w:val="hybridMultilevel"/>
    <w:tmpl w:val="1298CDF6"/>
    <w:lvl w:ilvl="0" w:tplc="DC7AEFC6">
      <w:start w:val="1"/>
      <w:numFmt w:val="bullet"/>
      <w:lvlText w:val=""/>
      <w:lvlJc w:val="left"/>
      <w:pPr>
        <w:ind w:left="360" w:hanging="360"/>
      </w:pPr>
      <w:rPr>
        <w:rFonts w:ascii="Symbol" w:hAnsi="Symbol" w:hint="default"/>
        <w:b w:val="0"/>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63047D"/>
    <w:multiLevelType w:val="hybridMultilevel"/>
    <w:tmpl w:val="B5563F96"/>
    <w:lvl w:ilvl="0" w:tplc="5746A818">
      <w:start w:val="1"/>
      <w:numFmt w:val="bullet"/>
      <w:lvlText w:val=""/>
      <w:lvlJc w:val="left"/>
      <w:pPr>
        <w:ind w:left="2617" w:hanging="360"/>
      </w:pPr>
      <w:rPr>
        <w:rFonts w:ascii="Symbol" w:hAnsi="Symbol" w:hint="default"/>
      </w:rPr>
    </w:lvl>
    <w:lvl w:ilvl="1" w:tplc="04090003">
      <w:start w:val="1"/>
      <w:numFmt w:val="bullet"/>
      <w:lvlText w:val="o"/>
      <w:lvlJc w:val="left"/>
      <w:pPr>
        <w:ind w:left="3337" w:hanging="360"/>
      </w:pPr>
      <w:rPr>
        <w:rFonts w:ascii="Courier New" w:hAnsi="Courier New" w:cs="Courier New" w:hint="default"/>
      </w:rPr>
    </w:lvl>
    <w:lvl w:ilvl="2" w:tplc="04090005" w:tentative="1">
      <w:start w:val="1"/>
      <w:numFmt w:val="bullet"/>
      <w:lvlText w:val=""/>
      <w:lvlJc w:val="left"/>
      <w:pPr>
        <w:ind w:left="4057" w:hanging="360"/>
      </w:pPr>
      <w:rPr>
        <w:rFonts w:ascii="Wingdings" w:hAnsi="Wingdings" w:hint="default"/>
      </w:rPr>
    </w:lvl>
    <w:lvl w:ilvl="3" w:tplc="04090001" w:tentative="1">
      <w:start w:val="1"/>
      <w:numFmt w:val="bullet"/>
      <w:lvlText w:val=""/>
      <w:lvlJc w:val="left"/>
      <w:pPr>
        <w:ind w:left="4777" w:hanging="360"/>
      </w:pPr>
      <w:rPr>
        <w:rFonts w:ascii="Symbol" w:hAnsi="Symbol" w:hint="default"/>
      </w:rPr>
    </w:lvl>
    <w:lvl w:ilvl="4" w:tplc="04090003" w:tentative="1">
      <w:start w:val="1"/>
      <w:numFmt w:val="bullet"/>
      <w:lvlText w:val="o"/>
      <w:lvlJc w:val="left"/>
      <w:pPr>
        <w:ind w:left="5497" w:hanging="360"/>
      </w:pPr>
      <w:rPr>
        <w:rFonts w:ascii="Courier New" w:hAnsi="Courier New" w:cs="Courier New" w:hint="default"/>
      </w:rPr>
    </w:lvl>
    <w:lvl w:ilvl="5" w:tplc="04090005" w:tentative="1">
      <w:start w:val="1"/>
      <w:numFmt w:val="bullet"/>
      <w:lvlText w:val=""/>
      <w:lvlJc w:val="left"/>
      <w:pPr>
        <w:ind w:left="6217" w:hanging="360"/>
      </w:pPr>
      <w:rPr>
        <w:rFonts w:ascii="Wingdings" w:hAnsi="Wingdings" w:hint="default"/>
      </w:rPr>
    </w:lvl>
    <w:lvl w:ilvl="6" w:tplc="04090001" w:tentative="1">
      <w:start w:val="1"/>
      <w:numFmt w:val="bullet"/>
      <w:lvlText w:val=""/>
      <w:lvlJc w:val="left"/>
      <w:pPr>
        <w:ind w:left="6937" w:hanging="360"/>
      </w:pPr>
      <w:rPr>
        <w:rFonts w:ascii="Symbol" w:hAnsi="Symbol" w:hint="default"/>
      </w:rPr>
    </w:lvl>
    <w:lvl w:ilvl="7" w:tplc="04090003" w:tentative="1">
      <w:start w:val="1"/>
      <w:numFmt w:val="bullet"/>
      <w:lvlText w:val="o"/>
      <w:lvlJc w:val="left"/>
      <w:pPr>
        <w:ind w:left="7657" w:hanging="360"/>
      </w:pPr>
      <w:rPr>
        <w:rFonts w:ascii="Courier New" w:hAnsi="Courier New" w:cs="Courier New" w:hint="default"/>
      </w:rPr>
    </w:lvl>
    <w:lvl w:ilvl="8" w:tplc="04090005" w:tentative="1">
      <w:start w:val="1"/>
      <w:numFmt w:val="bullet"/>
      <w:lvlText w:val=""/>
      <w:lvlJc w:val="left"/>
      <w:pPr>
        <w:ind w:left="8377" w:hanging="360"/>
      </w:pPr>
      <w:rPr>
        <w:rFonts w:ascii="Wingdings" w:hAnsi="Wingdings" w:hint="default"/>
      </w:rPr>
    </w:lvl>
  </w:abstractNum>
  <w:num w:numId="1">
    <w:abstractNumId w:val="18"/>
  </w:num>
  <w:num w:numId="2">
    <w:abstractNumId w:val="4"/>
  </w:num>
  <w:num w:numId="3">
    <w:abstractNumId w:val="22"/>
  </w:num>
  <w:num w:numId="4">
    <w:abstractNumId w:val="7"/>
  </w:num>
  <w:num w:numId="5">
    <w:abstractNumId w:val="19"/>
  </w:num>
  <w:num w:numId="6">
    <w:abstractNumId w:val="14"/>
  </w:num>
  <w:num w:numId="7">
    <w:abstractNumId w:val="20"/>
  </w:num>
  <w:num w:numId="8">
    <w:abstractNumId w:val="21"/>
  </w:num>
  <w:num w:numId="9">
    <w:abstractNumId w:val="13"/>
  </w:num>
  <w:num w:numId="10">
    <w:abstractNumId w:val="2"/>
  </w:num>
  <w:num w:numId="11">
    <w:abstractNumId w:val="1"/>
  </w:num>
  <w:num w:numId="12">
    <w:abstractNumId w:val="6"/>
  </w:num>
  <w:num w:numId="13">
    <w:abstractNumId w:val="17"/>
  </w:num>
  <w:num w:numId="14">
    <w:abstractNumId w:val="8"/>
  </w:num>
  <w:num w:numId="15">
    <w:abstractNumId w:val="5"/>
  </w:num>
  <w:num w:numId="16">
    <w:abstractNumId w:val="16"/>
  </w:num>
  <w:num w:numId="17">
    <w:abstractNumId w:val="9"/>
  </w:num>
  <w:num w:numId="18">
    <w:abstractNumId w:val="12"/>
  </w:num>
  <w:num w:numId="19">
    <w:abstractNumId w:val="15"/>
  </w:num>
  <w:num w:numId="20">
    <w:abstractNumId w:val="11"/>
  </w:num>
  <w:num w:numId="21">
    <w:abstractNumId w:val="3"/>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autoHyphenation/>
  <w:consecutiveHyphenLimit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ED"/>
    <w:rsid w:val="00015836"/>
    <w:rsid w:val="0003175D"/>
    <w:rsid w:val="0003388C"/>
    <w:rsid w:val="0007229F"/>
    <w:rsid w:val="000809AB"/>
    <w:rsid w:val="00084A9D"/>
    <w:rsid w:val="0009390E"/>
    <w:rsid w:val="000A51CE"/>
    <w:rsid w:val="000A7498"/>
    <w:rsid w:val="000A78C5"/>
    <w:rsid w:val="000B5303"/>
    <w:rsid w:val="000C6542"/>
    <w:rsid w:val="000E09DE"/>
    <w:rsid w:val="000E69A5"/>
    <w:rsid w:val="000E7848"/>
    <w:rsid w:val="000F3114"/>
    <w:rsid w:val="000F3D8C"/>
    <w:rsid w:val="0010482A"/>
    <w:rsid w:val="00121A0F"/>
    <w:rsid w:val="001272DF"/>
    <w:rsid w:val="00133884"/>
    <w:rsid w:val="00145BB3"/>
    <w:rsid w:val="0014738F"/>
    <w:rsid w:val="00160345"/>
    <w:rsid w:val="001625CB"/>
    <w:rsid w:val="00162A87"/>
    <w:rsid w:val="0016770A"/>
    <w:rsid w:val="00172186"/>
    <w:rsid w:val="00183147"/>
    <w:rsid w:val="00184C29"/>
    <w:rsid w:val="001859D8"/>
    <w:rsid w:val="001C0455"/>
    <w:rsid w:val="001C5CAB"/>
    <w:rsid w:val="001F1418"/>
    <w:rsid w:val="001F6F72"/>
    <w:rsid w:val="00217F3E"/>
    <w:rsid w:val="00222ADA"/>
    <w:rsid w:val="00233D5A"/>
    <w:rsid w:val="00237913"/>
    <w:rsid w:val="0024016E"/>
    <w:rsid w:val="00247266"/>
    <w:rsid w:val="0027263F"/>
    <w:rsid w:val="00272E1B"/>
    <w:rsid w:val="00295BB6"/>
    <w:rsid w:val="002A1A9D"/>
    <w:rsid w:val="002A3D79"/>
    <w:rsid w:val="002B06F1"/>
    <w:rsid w:val="002B7ADF"/>
    <w:rsid w:val="002C57EC"/>
    <w:rsid w:val="002E6AFE"/>
    <w:rsid w:val="002E7DA7"/>
    <w:rsid w:val="002F2BE7"/>
    <w:rsid w:val="0031192B"/>
    <w:rsid w:val="00315143"/>
    <w:rsid w:val="00315637"/>
    <w:rsid w:val="0031646C"/>
    <w:rsid w:val="003216DD"/>
    <w:rsid w:val="003230B1"/>
    <w:rsid w:val="00332152"/>
    <w:rsid w:val="00334C74"/>
    <w:rsid w:val="003473E5"/>
    <w:rsid w:val="00357F5F"/>
    <w:rsid w:val="00361827"/>
    <w:rsid w:val="00364087"/>
    <w:rsid w:val="00366C53"/>
    <w:rsid w:val="00371928"/>
    <w:rsid w:val="00374980"/>
    <w:rsid w:val="003769AE"/>
    <w:rsid w:val="00382F16"/>
    <w:rsid w:val="00385F6F"/>
    <w:rsid w:val="003A15D4"/>
    <w:rsid w:val="003A7389"/>
    <w:rsid w:val="003A7EAD"/>
    <w:rsid w:val="003B2C45"/>
    <w:rsid w:val="003D755F"/>
    <w:rsid w:val="003E7B00"/>
    <w:rsid w:val="00400BD1"/>
    <w:rsid w:val="00416E5B"/>
    <w:rsid w:val="00441E6B"/>
    <w:rsid w:val="00442CB0"/>
    <w:rsid w:val="00456D94"/>
    <w:rsid w:val="00460BBF"/>
    <w:rsid w:val="00463FB1"/>
    <w:rsid w:val="004718DE"/>
    <w:rsid w:val="00472628"/>
    <w:rsid w:val="00487984"/>
    <w:rsid w:val="004D5DE4"/>
    <w:rsid w:val="004F1EF3"/>
    <w:rsid w:val="004F2956"/>
    <w:rsid w:val="0050241B"/>
    <w:rsid w:val="005028BA"/>
    <w:rsid w:val="00513D32"/>
    <w:rsid w:val="00535439"/>
    <w:rsid w:val="00536761"/>
    <w:rsid w:val="0054082E"/>
    <w:rsid w:val="00542D6A"/>
    <w:rsid w:val="00566FA3"/>
    <w:rsid w:val="00567392"/>
    <w:rsid w:val="00573FDD"/>
    <w:rsid w:val="00577131"/>
    <w:rsid w:val="0058271F"/>
    <w:rsid w:val="00584F26"/>
    <w:rsid w:val="00587EA1"/>
    <w:rsid w:val="00594905"/>
    <w:rsid w:val="005A1017"/>
    <w:rsid w:val="005B0264"/>
    <w:rsid w:val="005B462F"/>
    <w:rsid w:val="005B4807"/>
    <w:rsid w:val="005D40FE"/>
    <w:rsid w:val="005F3EDD"/>
    <w:rsid w:val="005F41FA"/>
    <w:rsid w:val="006177E9"/>
    <w:rsid w:val="00624009"/>
    <w:rsid w:val="00624933"/>
    <w:rsid w:val="0063065B"/>
    <w:rsid w:val="00631EF5"/>
    <w:rsid w:val="00651943"/>
    <w:rsid w:val="00652FB6"/>
    <w:rsid w:val="0066083A"/>
    <w:rsid w:val="00661D0A"/>
    <w:rsid w:val="00671D91"/>
    <w:rsid w:val="006725AC"/>
    <w:rsid w:val="00674EA8"/>
    <w:rsid w:val="006905B0"/>
    <w:rsid w:val="006A1BF0"/>
    <w:rsid w:val="006A1E75"/>
    <w:rsid w:val="006A279F"/>
    <w:rsid w:val="006A29F6"/>
    <w:rsid w:val="006C0758"/>
    <w:rsid w:val="006C0C60"/>
    <w:rsid w:val="006D7D3D"/>
    <w:rsid w:val="006E18AE"/>
    <w:rsid w:val="006F16F8"/>
    <w:rsid w:val="006F2B74"/>
    <w:rsid w:val="00713152"/>
    <w:rsid w:val="0072000E"/>
    <w:rsid w:val="0072081E"/>
    <w:rsid w:val="00725BE2"/>
    <w:rsid w:val="007277E4"/>
    <w:rsid w:val="007321F9"/>
    <w:rsid w:val="007346A2"/>
    <w:rsid w:val="007400A9"/>
    <w:rsid w:val="00742336"/>
    <w:rsid w:val="00743D09"/>
    <w:rsid w:val="00744C70"/>
    <w:rsid w:val="00745722"/>
    <w:rsid w:val="0075348D"/>
    <w:rsid w:val="00755B21"/>
    <w:rsid w:val="00763302"/>
    <w:rsid w:val="0076393F"/>
    <w:rsid w:val="0077588C"/>
    <w:rsid w:val="007833EA"/>
    <w:rsid w:val="00791734"/>
    <w:rsid w:val="007A1412"/>
    <w:rsid w:val="007A2092"/>
    <w:rsid w:val="007A43F0"/>
    <w:rsid w:val="007B26A7"/>
    <w:rsid w:val="007D1C64"/>
    <w:rsid w:val="007E2705"/>
    <w:rsid w:val="007F1F17"/>
    <w:rsid w:val="00802A69"/>
    <w:rsid w:val="008232C4"/>
    <w:rsid w:val="00825CA7"/>
    <w:rsid w:val="00830C10"/>
    <w:rsid w:val="00831719"/>
    <w:rsid w:val="00843A6E"/>
    <w:rsid w:val="008462D0"/>
    <w:rsid w:val="00850239"/>
    <w:rsid w:val="008511A9"/>
    <w:rsid w:val="00854C1F"/>
    <w:rsid w:val="00856089"/>
    <w:rsid w:val="00856B35"/>
    <w:rsid w:val="00860F80"/>
    <w:rsid w:val="008800C4"/>
    <w:rsid w:val="00890DC0"/>
    <w:rsid w:val="008A3740"/>
    <w:rsid w:val="008C5B47"/>
    <w:rsid w:val="008D68EA"/>
    <w:rsid w:val="008F2803"/>
    <w:rsid w:val="00907334"/>
    <w:rsid w:val="00917B19"/>
    <w:rsid w:val="00921A96"/>
    <w:rsid w:val="009264EB"/>
    <w:rsid w:val="00956F0C"/>
    <w:rsid w:val="00957EA8"/>
    <w:rsid w:val="0096125B"/>
    <w:rsid w:val="0097068E"/>
    <w:rsid w:val="00973904"/>
    <w:rsid w:val="00983089"/>
    <w:rsid w:val="00985017"/>
    <w:rsid w:val="00993835"/>
    <w:rsid w:val="009A3F8F"/>
    <w:rsid w:val="009A47C5"/>
    <w:rsid w:val="009A4DE8"/>
    <w:rsid w:val="009C0A75"/>
    <w:rsid w:val="009D7BB6"/>
    <w:rsid w:val="009E671A"/>
    <w:rsid w:val="009F29C1"/>
    <w:rsid w:val="009F6938"/>
    <w:rsid w:val="00A0602F"/>
    <w:rsid w:val="00A07443"/>
    <w:rsid w:val="00A13FE7"/>
    <w:rsid w:val="00A163F7"/>
    <w:rsid w:val="00A31CE9"/>
    <w:rsid w:val="00A359C2"/>
    <w:rsid w:val="00A41FDE"/>
    <w:rsid w:val="00A608DB"/>
    <w:rsid w:val="00A61BEF"/>
    <w:rsid w:val="00A81045"/>
    <w:rsid w:val="00A870ED"/>
    <w:rsid w:val="00A91204"/>
    <w:rsid w:val="00A9152D"/>
    <w:rsid w:val="00A95088"/>
    <w:rsid w:val="00AC4F05"/>
    <w:rsid w:val="00AC6954"/>
    <w:rsid w:val="00AC69B1"/>
    <w:rsid w:val="00AD0B83"/>
    <w:rsid w:val="00AF4582"/>
    <w:rsid w:val="00AF5462"/>
    <w:rsid w:val="00B00BE3"/>
    <w:rsid w:val="00B05014"/>
    <w:rsid w:val="00B10FD6"/>
    <w:rsid w:val="00B262E1"/>
    <w:rsid w:val="00B304F9"/>
    <w:rsid w:val="00B34273"/>
    <w:rsid w:val="00B5430E"/>
    <w:rsid w:val="00B62FDC"/>
    <w:rsid w:val="00B67AB4"/>
    <w:rsid w:val="00B74025"/>
    <w:rsid w:val="00B83465"/>
    <w:rsid w:val="00B838B5"/>
    <w:rsid w:val="00B953F3"/>
    <w:rsid w:val="00B954A5"/>
    <w:rsid w:val="00B96464"/>
    <w:rsid w:val="00BA49F1"/>
    <w:rsid w:val="00BB1166"/>
    <w:rsid w:val="00BB6B61"/>
    <w:rsid w:val="00BC0E9B"/>
    <w:rsid w:val="00BD2C40"/>
    <w:rsid w:val="00BD490D"/>
    <w:rsid w:val="00BE21FB"/>
    <w:rsid w:val="00BE4DD6"/>
    <w:rsid w:val="00BE75F3"/>
    <w:rsid w:val="00C06072"/>
    <w:rsid w:val="00C07A2A"/>
    <w:rsid w:val="00C10A8A"/>
    <w:rsid w:val="00C16855"/>
    <w:rsid w:val="00C170AD"/>
    <w:rsid w:val="00C31B08"/>
    <w:rsid w:val="00C40E01"/>
    <w:rsid w:val="00C43E52"/>
    <w:rsid w:val="00C54DD4"/>
    <w:rsid w:val="00C66E9E"/>
    <w:rsid w:val="00C91B36"/>
    <w:rsid w:val="00C95D5E"/>
    <w:rsid w:val="00C96D98"/>
    <w:rsid w:val="00C971E7"/>
    <w:rsid w:val="00CA3F34"/>
    <w:rsid w:val="00CB31D3"/>
    <w:rsid w:val="00CC576A"/>
    <w:rsid w:val="00CF2CF5"/>
    <w:rsid w:val="00CF790A"/>
    <w:rsid w:val="00D0746B"/>
    <w:rsid w:val="00D1237D"/>
    <w:rsid w:val="00D1449A"/>
    <w:rsid w:val="00D14564"/>
    <w:rsid w:val="00D3769D"/>
    <w:rsid w:val="00D42511"/>
    <w:rsid w:val="00D430F4"/>
    <w:rsid w:val="00D53B42"/>
    <w:rsid w:val="00D54EBD"/>
    <w:rsid w:val="00D63BAC"/>
    <w:rsid w:val="00D67FCF"/>
    <w:rsid w:val="00D86FD1"/>
    <w:rsid w:val="00D91041"/>
    <w:rsid w:val="00D92FA2"/>
    <w:rsid w:val="00D95B36"/>
    <w:rsid w:val="00D96735"/>
    <w:rsid w:val="00D97FB1"/>
    <w:rsid w:val="00DB6C8A"/>
    <w:rsid w:val="00DC2111"/>
    <w:rsid w:val="00DC3772"/>
    <w:rsid w:val="00DD0707"/>
    <w:rsid w:val="00DE162F"/>
    <w:rsid w:val="00DE38D5"/>
    <w:rsid w:val="00DF1A9C"/>
    <w:rsid w:val="00DF51F9"/>
    <w:rsid w:val="00E0067D"/>
    <w:rsid w:val="00E120D0"/>
    <w:rsid w:val="00E16B33"/>
    <w:rsid w:val="00E21646"/>
    <w:rsid w:val="00E226EF"/>
    <w:rsid w:val="00E34196"/>
    <w:rsid w:val="00E3670D"/>
    <w:rsid w:val="00E50DD4"/>
    <w:rsid w:val="00E52954"/>
    <w:rsid w:val="00E8664E"/>
    <w:rsid w:val="00E904C3"/>
    <w:rsid w:val="00E96C25"/>
    <w:rsid w:val="00EB2778"/>
    <w:rsid w:val="00EB6391"/>
    <w:rsid w:val="00EB7717"/>
    <w:rsid w:val="00EC2490"/>
    <w:rsid w:val="00EE28CB"/>
    <w:rsid w:val="00EE2F8D"/>
    <w:rsid w:val="00EE52FA"/>
    <w:rsid w:val="00EF4439"/>
    <w:rsid w:val="00F12DAD"/>
    <w:rsid w:val="00F14EDF"/>
    <w:rsid w:val="00F274C7"/>
    <w:rsid w:val="00F31FE3"/>
    <w:rsid w:val="00F416AB"/>
    <w:rsid w:val="00F42C8D"/>
    <w:rsid w:val="00F60023"/>
    <w:rsid w:val="00F70FFC"/>
    <w:rsid w:val="00F76AE8"/>
    <w:rsid w:val="00FA4219"/>
    <w:rsid w:val="00FB3848"/>
    <w:rsid w:val="00FB4B0C"/>
    <w:rsid w:val="00FB6F1A"/>
    <w:rsid w:val="00FD2B3E"/>
    <w:rsid w:val="00FF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B7D7A8"/>
  <w15:docId w15:val="{97972779-4324-4C49-B11C-924B9102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0ED"/>
    <w:pPr>
      <w:spacing w:after="0" w:line="240" w:lineRule="auto"/>
    </w:pPr>
    <w:rPr>
      <w:rFonts w:eastAsiaTheme="minorEastAsia"/>
    </w:rPr>
  </w:style>
  <w:style w:type="paragraph" w:styleId="ListParagraph">
    <w:name w:val="List Paragraph"/>
    <w:basedOn w:val="Normal"/>
    <w:uiPriority w:val="34"/>
    <w:qFormat/>
    <w:rsid w:val="00A870ED"/>
    <w:pPr>
      <w:ind w:left="720"/>
      <w:contextualSpacing/>
    </w:pPr>
  </w:style>
  <w:style w:type="character" w:styleId="EndnoteReference">
    <w:name w:val="endnote reference"/>
    <w:uiPriority w:val="99"/>
    <w:rsid w:val="00A870ED"/>
    <w:rPr>
      <w:rFonts w:cs="Times New Roman"/>
      <w:vertAlign w:val="superscript"/>
    </w:rPr>
  </w:style>
  <w:style w:type="table" w:styleId="TableGrid">
    <w:name w:val="Table Grid"/>
    <w:basedOn w:val="TableNormal"/>
    <w:uiPriority w:val="59"/>
    <w:rsid w:val="0037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38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439"/>
    <w:rPr>
      <w:rFonts w:ascii="Tahoma" w:hAnsi="Tahoma" w:cs="Tahoma"/>
      <w:sz w:val="16"/>
      <w:szCs w:val="16"/>
    </w:rPr>
  </w:style>
  <w:style w:type="paragraph" w:styleId="Header">
    <w:name w:val="header"/>
    <w:basedOn w:val="Normal"/>
    <w:link w:val="HeaderChar"/>
    <w:uiPriority w:val="99"/>
    <w:unhideWhenUsed/>
    <w:rsid w:val="00744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C70"/>
  </w:style>
  <w:style w:type="paragraph" w:styleId="Footer">
    <w:name w:val="footer"/>
    <w:basedOn w:val="Normal"/>
    <w:link w:val="FooterChar"/>
    <w:uiPriority w:val="99"/>
    <w:unhideWhenUsed/>
    <w:rsid w:val="00744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70"/>
  </w:style>
  <w:style w:type="paragraph" w:styleId="CommentText">
    <w:name w:val="annotation text"/>
    <w:basedOn w:val="Normal"/>
    <w:link w:val="CommentTextChar"/>
    <w:uiPriority w:val="99"/>
    <w:unhideWhenUsed/>
    <w:rsid w:val="00385F6F"/>
    <w:pPr>
      <w:spacing w:line="240" w:lineRule="auto"/>
    </w:pPr>
    <w:rPr>
      <w:sz w:val="20"/>
      <w:szCs w:val="20"/>
    </w:rPr>
  </w:style>
  <w:style w:type="character" w:customStyle="1" w:styleId="CommentTextChar">
    <w:name w:val="Comment Text Char"/>
    <w:basedOn w:val="DefaultParagraphFont"/>
    <w:link w:val="CommentText"/>
    <w:uiPriority w:val="99"/>
    <w:rsid w:val="00385F6F"/>
    <w:rPr>
      <w:sz w:val="20"/>
      <w:szCs w:val="20"/>
    </w:rPr>
  </w:style>
  <w:style w:type="paragraph" w:customStyle="1" w:styleId="bodycopy">
    <w:name w:val="body copy"/>
    <w:qFormat/>
    <w:rsid w:val="00D63BAC"/>
    <w:pPr>
      <w:spacing w:after="120" w:line="240" w:lineRule="exact"/>
      <w:jc w:val="both"/>
    </w:pPr>
    <w:rPr>
      <w:rFonts w:ascii="Arial Narrow" w:hAnsi="Arial Narrow"/>
      <w:color w:val="000000" w:themeColor="text1"/>
      <w:sz w:val="20"/>
      <w:szCs w:val="20"/>
    </w:rPr>
  </w:style>
  <w:style w:type="paragraph" w:customStyle="1" w:styleId="subhead1">
    <w:name w:val="subhead 1"/>
    <w:qFormat/>
    <w:rsid w:val="006F2B74"/>
    <w:pPr>
      <w:spacing w:before="300" w:after="40" w:line="280" w:lineRule="exact"/>
    </w:pPr>
    <w:rPr>
      <w:rFonts w:ascii="Arial Narrow" w:hAnsi="Arial Narrow"/>
      <w:b/>
      <w:bCs/>
      <w:color w:val="1C627A"/>
      <w:sz w:val="24"/>
      <w:szCs w:val="24"/>
    </w:rPr>
  </w:style>
  <w:style w:type="character" w:styleId="Hyperlink">
    <w:name w:val="Hyperlink"/>
    <w:basedOn w:val="DefaultParagraphFont"/>
    <w:uiPriority w:val="99"/>
    <w:unhideWhenUsed/>
    <w:rsid w:val="003A7EAD"/>
    <w:rPr>
      <w:color w:val="0000FF" w:themeColor="hyperlink"/>
      <w:u w:val="single"/>
    </w:rPr>
  </w:style>
  <w:style w:type="character" w:styleId="FollowedHyperlink">
    <w:name w:val="FollowedHyperlink"/>
    <w:basedOn w:val="DefaultParagraphFont"/>
    <w:uiPriority w:val="99"/>
    <w:semiHidden/>
    <w:unhideWhenUsed/>
    <w:rsid w:val="003A7E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dph.ca.gov/programs/tb/Documents/TBCB-INH-RIF-LTBI-fact-sheet.pdf" TargetMode="External"/><Relationship Id="rId2" Type="http://schemas.openxmlformats.org/officeDocument/2006/relationships/numbering" Target="numbering.xml"/><Relationship Id="rId16" Type="http://schemas.openxmlformats.org/officeDocument/2006/relationships/hyperlink" Target="http://www.ctca.org/index.cfm?fuseaction=page&amp;page_id=50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DD1E-7A13-48BB-BB33-B95D1815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Saephan, Suzie (CDPH-CID-DCDC-TCB)</dc:creator>
  <cp:lastModifiedBy>April king-Todd</cp:lastModifiedBy>
  <cp:revision>2</cp:revision>
  <cp:lastPrinted>2016-05-10T23:46:00Z</cp:lastPrinted>
  <dcterms:created xsi:type="dcterms:W3CDTF">2016-08-01T22:56:00Z</dcterms:created>
  <dcterms:modified xsi:type="dcterms:W3CDTF">2016-08-01T22:56:00Z</dcterms:modified>
</cp:coreProperties>
</file>